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C51" w:rsidRPr="00562F16" w:rsidRDefault="00BD4C51" w:rsidP="00BD4C51">
      <w:pPr>
        <w:jc w:val="center"/>
        <w:rPr>
          <w:rFonts w:ascii="Verdana" w:hAnsi="Verdana" w:cs="Arial"/>
          <w:b/>
          <w:bCs/>
          <w:spacing w:val="-3"/>
        </w:rPr>
      </w:pPr>
    </w:p>
    <w:p w:rsidR="00BD4C51" w:rsidRPr="00562F16" w:rsidRDefault="00BD4C51" w:rsidP="00BD4C51">
      <w:pPr>
        <w:jc w:val="center"/>
        <w:rPr>
          <w:rFonts w:ascii="Verdana" w:hAnsi="Verdana" w:cs="Arial"/>
          <w:b/>
          <w:bCs/>
          <w:spacing w:val="-3"/>
        </w:rPr>
      </w:pPr>
      <w:r w:rsidRPr="00562F16">
        <w:rPr>
          <w:rFonts w:ascii="Verdana" w:hAnsi="Verdana" w:cs="Arial"/>
          <w:b/>
          <w:bCs/>
          <w:spacing w:val="-3"/>
        </w:rPr>
        <w:t xml:space="preserve">EL DIRECTOR DEL DEPARTAMENTO ADMINISTRATIVO PARA LA PROSPERIDAD SOCIAL </w:t>
      </w:r>
    </w:p>
    <w:p w:rsidR="00BD4C51" w:rsidRPr="00562F16" w:rsidRDefault="00BD4C51" w:rsidP="00BD4C51">
      <w:pPr>
        <w:jc w:val="center"/>
        <w:rPr>
          <w:rFonts w:ascii="Verdana" w:hAnsi="Verdana" w:cs="Arial"/>
          <w:b/>
          <w:bCs/>
          <w:spacing w:val="-3"/>
        </w:rPr>
      </w:pPr>
    </w:p>
    <w:p w:rsidR="00BD4C51" w:rsidRPr="00562F16" w:rsidRDefault="00BD4C51" w:rsidP="00BD4C51">
      <w:pPr>
        <w:widowControl/>
        <w:autoSpaceDE/>
        <w:autoSpaceDN/>
        <w:jc w:val="center"/>
        <w:rPr>
          <w:rFonts w:ascii="Verdana" w:eastAsia="Times New Roman" w:hAnsi="Verdana" w:cs="Arial"/>
          <w:color w:val="000000"/>
          <w:lang w:val="es-ES"/>
        </w:rPr>
      </w:pPr>
      <w:r w:rsidRPr="00562F16">
        <w:rPr>
          <w:rFonts w:ascii="Verdana" w:eastAsia="Times New Roman" w:hAnsi="Verdana" w:cs="Arial"/>
          <w:color w:val="000000"/>
          <w:lang w:val="es-ES"/>
        </w:rPr>
        <w:t>En uso de las facultades constitucionales y legales, en especial las conferidas por la Ley 1785 de</w:t>
      </w:r>
    </w:p>
    <w:p w:rsidR="00BD4C51" w:rsidRPr="00562F16" w:rsidRDefault="00BD4C51" w:rsidP="00BD4C51">
      <w:pPr>
        <w:widowControl/>
        <w:autoSpaceDE/>
        <w:autoSpaceDN/>
        <w:jc w:val="center"/>
        <w:rPr>
          <w:rFonts w:ascii="Verdana" w:eastAsia="Times New Roman" w:hAnsi="Verdana" w:cs="Arial"/>
          <w:color w:val="000000"/>
          <w:lang w:val="es-ES"/>
        </w:rPr>
      </w:pPr>
      <w:r w:rsidRPr="00562F16">
        <w:rPr>
          <w:rFonts w:ascii="Verdana" w:eastAsia="Times New Roman" w:hAnsi="Verdana" w:cs="Arial"/>
          <w:color w:val="000000"/>
          <w:lang w:val="es-ES"/>
        </w:rPr>
        <w:t xml:space="preserve">2016, el artículo 24 de la Ley 1176 de 2007 y el Decreto 2094 de 2016 y, </w:t>
      </w:r>
    </w:p>
    <w:p w:rsidR="00BD4C51" w:rsidRPr="00562F16" w:rsidRDefault="00BD4C51" w:rsidP="00BD4C51">
      <w:pPr>
        <w:widowControl/>
        <w:tabs>
          <w:tab w:val="left" w:pos="3585"/>
        </w:tabs>
        <w:autoSpaceDE/>
        <w:autoSpaceDN/>
        <w:rPr>
          <w:rFonts w:ascii="Verdana" w:eastAsia="Times New Roman" w:hAnsi="Verdana" w:cs="Arial"/>
          <w:color w:val="000000"/>
          <w:lang w:val="es-ES"/>
        </w:rPr>
      </w:pPr>
      <w:r w:rsidRPr="00562F16">
        <w:rPr>
          <w:rFonts w:ascii="Verdana" w:eastAsia="Times New Roman" w:hAnsi="Verdana" w:cs="Arial"/>
          <w:color w:val="000000"/>
          <w:lang w:val="es-ES"/>
        </w:rPr>
        <w:tab/>
      </w:r>
    </w:p>
    <w:p w:rsidR="00BD4C51" w:rsidRPr="00562F16" w:rsidRDefault="00BD4C51" w:rsidP="00BD4C51">
      <w:pPr>
        <w:tabs>
          <w:tab w:val="center" w:pos="4959"/>
          <w:tab w:val="left" w:pos="11624"/>
        </w:tabs>
        <w:suppressAutoHyphens/>
        <w:ind w:right="356"/>
        <w:rPr>
          <w:rFonts w:ascii="Verdana" w:hAnsi="Verdana" w:cs="Arial"/>
          <w:b/>
          <w:bCs/>
          <w:spacing w:val="-3"/>
        </w:rPr>
      </w:pPr>
    </w:p>
    <w:p w:rsidR="00BD4C51" w:rsidRPr="00562F16" w:rsidRDefault="00BD4C51" w:rsidP="00BD4C51">
      <w:pPr>
        <w:tabs>
          <w:tab w:val="center" w:pos="4959"/>
          <w:tab w:val="left" w:pos="11624"/>
        </w:tabs>
        <w:suppressAutoHyphens/>
        <w:ind w:left="426" w:right="356"/>
        <w:jc w:val="center"/>
        <w:rPr>
          <w:rFonts w:ascii="Verdana" w:hAnsi="Verdana" w:cs="Arial"/>
          <w:b/>
          <w:bCs/>
          <w:spacing w:val="-3"/>
          <w:lang w:val="pt-BR"/>
        </w:rPr>
      </w:pPr>
      <w:r w:rsidRPr="00562F16">
        <w:rPr>
          <w:rFonts w:ascii="Verdana" w:hAnsi="Verdana" w:cs="Arial"/>
          <w:b/>
          <w:bCs/>
          <w:spacing w:val="-3"/>
          <w:lang w:val="pt-BR"/>
        </w:rPr>
        <w:t>C O N S I D E R A N D O</w:t>
      </w:r>
    </w:p>
    <w:p w:rsidR="00BD4C51" w:rsidRPr="00562F16" w:rsidRDefault="00BD4C51" w:rsidP="00BD4C51">
      <w:pPr>
        <w:tabs>
          <w:tab w:val="center" w:pos="4959"/>
          <w:tab w:val="left" w:pos="11624"/>
        </w:tabs>
        <w:suppressAutoHyphens/>
        <w:ind w:left="426" w:right="356"/>
        <w:jc w:val="center"/>
        <w:rPr>
          <w:rFonts w:ascii="Verdana" w:hAnsi="Verdana" w:cs="Arial"/>
          <w:b/>
          <w:bCs/>
          <w:spacing w:val="-3"/>
          <w:lang w:val="pt-BR"/>
        </w:rPr>
      </w:pPr>
    </w:p>
    <w:p w:rsidR="00BD4C51" w:rsidRPr="00562F16" w:rsidRDefault="00BD4C51" w:rsidP="00BD4C51">
      <w:pPr>
        <w:adjustRightInd w:val="0"/>
        <w:ind w:left="11" w:right="17"/>
        <w:jc w:val="both"/>
        <w:rPr>
          <w:rFonts w:ascii="Verdana" w:eastAsia="Times New Roman" w:hAnsi="Verdana" w:cs="Arial"/>
          <w:w w:val="110"/>
          <w:lang w:eastAsia="es-CO" w:bidi="he-IL"/>
        </w:rPr>
      </w:pPr>
    </w:p>
    <w:p w:rsidR="00BD4C51" w:rsidRDefault="00BD4C51" w:rsidP="00BD4C51">
      <w:pPr>
        <w:adjustRightInd w:val="0"/>
        <w:ind w:left="28" w:right="9"/>
        <w:jc w:val="both"/>
        <w:rPr>
          <w:rFonts w:ascii="Verdana" w:eastAsia="Times New Roman" w:hAnsi="Verdana" w:cs="Arial"/>
          <w:w w:val="108"/>
          <w:lang w:eastAsia="es-CO"/>
        </w:rPr>
      </w:pPr>
      <w:r w:rsidRPr="00562F16">
        <w:rPr>
          <w:rFonts w:ascii="Verdana" w:eastAsia="Times New Roman" w:hAnsi="Verdana" w:cs="Arial"/>
          <w:w w:val="108"/>
          <w:lang w:eastAsia="es-CO"/>
        </w:rPr>
        <w:t>Que</w:t>
      </w:r>
      <w:r w:rsidR="00CA49CA">
        <w:rPr>
          <w:rFonts w:ascii="Verdana" w:eastAsia="Times New Roman" w:hAnsi="Verdana" w:cs="Arial"/>
          <w:w w:val="108"/>
          <w:lang w:eastAsia="es-CO"/>
        </w:rPr>
        <w:t xml:space="preserve"> teniendo en cuenta de manera í</w:t>
      </w:r>
      <w:r w:rsidR="00954C96">
        <w:rPr>
          <w:rFonts w:ascii="Verdana" w:eastAsia="Times New Roman" w:hAnsi="Verdana" w:cs="Arial"/>
          <w:w w:val="108"/>
          <w:lang w:eastAsia="es-CO"/>
        </w:rPr>
        <w:t xml:space="preserve">ntegra los considerandos de la Resolución No. 02717 de octubre 4 de 2016 y </w:t>
      </w:r>
      <w:r w:rsidRPr="00562F16">
        <w:rPr>
          <w:rFonts w:ascii="Verdana" w:eastAsia="Times New Roman" w:hAnsi="Verdana" w:cs="Arial"/>
          <w:w w:val="108"/>
          <w:lang w:eastAsia="es-CO"/>
        </w:rPr>
        <w:t>respecto de la focalización de beneficiarios, el artículo 50 de la Ley 1785 de 2016 señala los</w:t>
      </w:r>
      <w:r>
        <w:rPr>
          <w:rFonts w:ascii="Verdana" w:eastAsia="Times New Roman" w:hAnsi="Verdana" w:cs="Arial"/>
          <w:w w:val="108"/>
          <w:lang w:eastAsia="es-CO"/>
        </w:rPr>
        <w:t xml:space="preserve"> </w:t>
      </w:r>
      <w:r w:rsidRPr="00562F16">
        <w:rPr>
          <w:rFonts w:ascii="Verdana" w:eastAsia="Times New Roman" w:hAnsi="Verdana" w:cs="Arial"/>
          <w:w w:val="108"/>
          <w:lang w:eastAsia="es-CO"/>
        </w:rPr>
        <w:t>hogares y comunidades que hacen parte de la Red Unidos y que serán beneficiarios del</w:t>
      </w:r>
      <w:r>
        <w:rPr>
          <w:rFonts w:ascii="Verdana" w:eastAsia="Times New Roman" w:hAnsi="Verdana" w:cs="Arial"/>
          <w:w w:val="108"/>
          <w:lang w:eastAsia="es-CO"/>
        </w:rPr>
        <w:t xml:space="preserve"> </w:t>
      </w:r>
      <w:r w:rsidRPr="00562F16">
        <w:rPr>
          <w:rFonts w:ascii="Verdana" w:eastAsia="Times New Roman" w:hAnsi="Verdana" w:cs="Arial"/>
          <w:w w:val="108"/>
          <w:lang w:eastAsia="es-CO"/>
        </w:rPr>
        <w:t>acompañamiento familiar y comunitario; disponiendo que: "Estos criterios de focalización de</w:t>
      </w:r>
      <w:r>
        <w:rPr>
          <w:rFonts w:ascii="Verdana" w:eastAsia="Times New Roman" w:hAnsi="Verdana" w:cs="Arial"/>
          <w:w w:val="108"/>
          <w:lang w:eastAsia="es-CO"/>
        </w:rPr>
        <w:t xml:space="preserve"> </w:t>
      </w:r>
      <w:r w:rsidRPr="00562F16">
        <w:rPr>
          <w:rFonts w:ascii="Verdana" w:eastAsia="Times New Roman" w:hAnsi="Verdana" w:cs="Arial"/>
          <w:w w:val="108"/>
          <w:lang w:eastAsia="es-CO"/>
        </w:rPr>
        <w:t>beneficiarios estarán sujetos a revisión y ajuste bianual por parte del Departamento para la</w:t>
      </w:r>
      <w:r>
        <w:rPr>
          <w:rFonts w:ascii="Verdana" w:eastAsia="Times New Roman" w:hAnsi="Verdana" w:cs="Arial"/>
          <w:w w:val="108"/>
          <w:lang w:eastAsia="es-CO"/>
        </w:rPr>
        <w:t xml:space="preserve"> </w:t>
      </w:r>
      <w:r w:rsidRPr="00562F16">
        <w:rPr>
          <w:rFonts w:ascii="Verdana" w:eastAsia="Times New Roman" w:hAnsi="Verdana" w:cs="Arial"/>
          <w:w w:val="108"/>
          <w:lang w:eastAsia="es-CO"/>
        </w:rPr>
        <w:t>Prosperidad Social con el fin de actualizarlos según las necesidades del país'.</w:t>
      </w:r>
    </w:p>
    <w:p w:rsidR="00BD4C51" w:rsidRPr="00562F16" w:rsidRDefault="00BD4C51" w:rsidP="00BD4C51">
      <w:pPr>
        <w:adjustRightInd w:val="0"/>
        <w:ind w:left="28" w:right="9"/>
        <w:jc w:val="both"/>
        <w:rPr>
          <w:rFonts w:ascii="Verdana" w:eastAsia="Times New Roman" w:hAnsi="Verdana" w:cs="Arial"/>
          <w:w w:val="108"/>
          <w:lang w:eastAsia="es-CO"/>
        </w:rPr>
      </w:pPr>
    </w:p>
    <w:p w:rsidR="00BD4C51" w:rsidRDefault="00BD4C51" w:rsidP="00BD4C51">
      <w:pPr>
        <w:adjustRightInd w:val="0"/>
        <w:ind w:left="28" w:right="9"/>
        <w:jc w:val="both"/>
        <w:rPr>
          <w:rFonts w:ascii="Verdana" w:eastAsia="Times New Roman" w:hAnsi="Verdana" w:cs="Arial"/>
          <w:w w:val="108"/>
          <w:lang w:eastAsia="es-CO"/>
        </w:rPr>
      </w:pPr>
      <w:r w:rsidRPr="00562F16">
        <w:rPr>
          <w:rFonts w:ascii="Verdana" w:eastAsia="Times New Roman" w:hAnsi="Verdana" w:cs="Arial"/>
          <w:w w:val="108"/>
          <w:lang w:eastAsia="es-CO"/>
        </w:rPr>
        <w:t xml:space="preserve">Que </w:t>
      </w:r>
      <w:r>
        <w:rPr>
          <w:rFonts w:ascii="Verdana" w:eastAsia="Times New Roman" w:hAnsi="Verdana" w:cs="Arial"/>
          <w:w w:val="108"/>
          <w:lang w:eastAsia="es-CO"/>
        </w:rPr>
        <w:t xml:space="preserve">mediante la Resolución </w:t>
      </w:r>
      <w:r w:rsidR="00954C96">
        <w:rPr>
          <w:rFonts w:ascii="Verdana" w:eastAsia="Times New Roman" w:hAnsi="Verdana" w:cs="Arial"/>
          <w:w w:val="108"/>
          <w:lang w:eastAsia="es-CO"/>
        </w:rPr>
        <w:t xml:space="preserve">No. </w:t>
      </w:r>
      <w:r w:rsidR="00A90A6F">
        <w:rPr>
          <w:rFonts w:ascii="Verdana" w:eastAsia="Times New Roman" w:hAnsi="Verdana" w:cs="Arial"/>
          <w:w w:val="108"/>
          <w:lang w:eastAsia="es-CO"/>
        </w:rPr>
        <w:t>0</w:t>
      </w:r>
      <w:r>
        <w:rPr>
          <w:rFonts w:ascii="Verdana" w:eastAsia="Times New Roman" w:hAnsi="Verdana" w:cs="Arial"/>
          <w:w w:val="108"/>
          <w:lang w:eastAsia="es-CO"/>
        </w:rPr>
        <w:t>2717 de octubre 4 de 2016,</w:t>
      </w:r>
      <w:r w:rsidRPr="00562F16">
        <w:rPr>
          <w:rFonts w:ascii="Verdana" w:eastAsia="Times New Roman" w:hAnsi="Verdana" w:cs="Arial"/>
          <w:w w:val="108"/>
          <w:lang w:eastAsia="es-CO"/>
        </w:rPr>
        <w:t xml:space="preserve"> el Departamento</w:t>
      </w:r>
      <w:r>
        <w:rPr>
          <w:rFonts w:ascii="Verdana" w:eastAsia="Times New Roman" w:hAnsi="Verdana" w:cs="Arial"/>
          <w:w w:val="108"/>
          <w:lang w:eastAsia="es-CO"/>
        </w:rPr>
        <w:t xml:space="preserve"> </w:t>
      </w:r>
      <w:r w:rsidRPr="00562F16">
        <w:rPr>
          <w:rFonts w:ascii="Verdana" w:eastAsia="Times New Roman" w:hAnsi="Verdana" w:cs="Arial"/>
          <w:w w:val="108"/>
          <w:lang w:eastAsia="es-CO"/>
        </w:rPr>
        <w:t xml:space="preserve">Administrativo </w:t>
      </w:r>
      <w:r>
        <w:rPr>
          <w:rFonts w:ascii="Verdana" w:eastAsia="Times New Roman" w:hAnsi="Verdana" w:cs="Arial"/>
          <w:w w:val="108"/>
          <w:lang w:eastAsia="es-CO"/>
        </w:rPr>
        <w:t>para la</w:t>
      </w:r>
      <w:r w:rsidRPr="00562F16">
        <w:rPr>
          <w:rFonts w:ascii="Verdana" w:eastAsia="Times New Roman" w:hAnsi="Verdana" w:cs="Arial"/>
          <w:w w:val="108"/>
          <w:lang w:eastAsia="es-CO"/>
        </w:rPr>
        <w:t xml:space="preserve"> Prosperidad Social, estable</w:t>
      </w:r>
      <w:r>
        <w:rPr>
          <w:rFonts w:ascii="Verdana" w:eastAsia="Times New Roman" w:hAnsi="Verdana" w:cs="Arial"/>
          <w:w w:val="108"/>
          <w:lang w:eastAsia="es-CO"/>
        </w:rPr>
        <w:t>ció</w:t>
      </w:r>
      <w:r w:rsidRPr="00562F16">
        <w:rPr>
          <w:rFonts w:ascii="Verdana" w:eastAsia="Times New Roman" w:hAnsi="Verdana" w:cs="Arial"/>
          <w:w w:val="108"/>
          <w:lang w:eastAsia="es-CO"/>
        </w:rPr>
        <w:t xml:space="preserve"> los criterios de identificación, selección</w:t>
      </w:r>
      <w:r>
        <w:rPr>
          <w:rFonts w:ascii="Verdana" w:eastAsia="Times New Roman" w:hAnsi="Verdana" w:cs="Arial"/>
          <w:w w:val="108"/>
          <w:lang w:eastAsia="es-CO"/>
        </w:rPr>
        <w:t xml:space="preserve"> </w:t>
      </w:r>
      <w:r w:rsidRPr="00562F16">
        <w:rPr>
          <w:rFonts w:ascii="Verdana" w:eastAsia="Times New Roman" w:hAnsi="Verdana" w:cs="Arial"/>
          <w:w w:val="108"/>
          <w:lang w:eastAsia="es-CO"/>
        </w:rPr>
        <w:t>vinculación, permanencia y egreso de hogares en condición de pobreza extrema a la Estrategia</w:t>
      </w:r>
      <w:r>
        <w:rPr>
          <w:rFonts w:ascii="Verdana" w:eastAsia="Times New Roman" w:hAnsi="Verdana" w:cs="Arial"/>
          <w:w w:val="108"/>
          <w:lang w:eastAsia="es-CO"/>
        </w:rPr>
        <w:t xml:space="preserve"> </w:t>
      </w:r>
      <w:r w:rsidRPr="00562F16">
        <w:rPr>
          <w:rFonts w:ascii="Verdana" w:eastAsia="Times New Roman" w:hAnsi="Verdana" w:cs="Arial"/>
          <w:w w:val="108"/>
          <w:lang w:eastAsia="es-CO"/>
        </w:rPr>
        <w:t>para la Superación de la Pobreza Extrema - Red Unidos, de acuerdo con lo consagrado por la Ley</w:t>
      </w:r>
      <w:r>
        <w:rPr>
          <w:rFonts w:ascii="Verdana" w:eastAsia="Times New Roman" w:hAnsi="Verdana" w:cs="Arial"/>
          <w:w w:val="108"/>
          <w:lang w:eastAsia="es-CO"/>
        </w:rPr>
        <w:t xml:space="preserve"> </w:t>
      </w:r>
      <w:r w:rsidRPr="00562F16">
        <w:rPr>
          <w:rFonts w:ascii="Verdana" w:eastAsia="Times New Roman" w:hAnsi="Verdana" w:cs="Arial"/>
          <w:w w:val="108"/>
          <w:lang w:eastAsia="es-CO"/>
        </w:rPr>
        <w:t>1785 de 2016.</w:t>
      </w:r>
    </w:p>
    <w:p w:rsidR="00BD4C51" w:rsidRDefault="00BD4C51" w:rsidP="00BD4C51">
      <w:pPr>
        <w:adjustRightInd w:val="0"/>
        <w:ind w:left="28" w:right="9"/>
        <w:jc w:val="both"/>
        <w:rPr>
          <w:rFonts w:ascii="Verdana" w:eastAsia="Times New Roman" w:hAnsi="Verdana" w:cs="Arial"/>
          <w:w w:val="108"/>
          <w:lang w:eastAsia="es-CO"/>
        </w:rPr>
      </w:pPr>
    </w:p>
    <w:p w:rsidR="00BD4C51" w:rsidRPr="000B1C80" w:rsidRDefault="00BD4C51" w:rsidP="00BD4C51">
      <w:pPr>
        <w:adjustRightInd w:val="0"/>
        <w:ind w:left="28" w:right="9"/>
        <w:jc w:val="both"/>
        <w:rPr>
          <w:rFonts w:ascii="Verdana" w:eastAsia="Times New Roman" w:hAnsi="Verdana" w:cs="Arial"/>
          <w:w w:val="108"/>
          <w:lang w:eastAsia="es-CO"/>
        </w:rPr>
      </w:pPr>
      <w:r w:rsidRPr="000B1C80">
        <w:rPr>
          <w:rFonts w:ascii="Verdana" w:eastAsia="Times New Roman" w:hAnsi="Verdana" w:cs="Arial"/>
          <w:w w:val="108"/>
          <w:lang w:eastAsia="es-CO"/>
        </w:rPr>
        <w:t>Que el artículo 9 de la Resolución</w:t>
      </w:r>
      <w:r w:rsidR="00954C96">
        <w:rPr>
          <w:rFonts w:ascii="Verdana" w:eastAsia="Times New Roman" w:hAnsi="Verdana" w:cs="Arial"/>
          <w:w w:val="108"/>
          <w:lang w:eastAsia="es-CO"/>
        </w:rPr>
        <w:t xml:space="preserve"> No.</w:t>
      </w:r>
      <w:r w:rsidRPr="000B1C80">
        <w:rPr>
          <w:rFonts w:ascii="Verdana" w:eastAsia="Times New Roman" w:hAnsi="Verdana" w:cs="Arial"/>
          <w:w w:val="108"/>
          <w:lang w:eastAsia="es-CO"/>
        </w:rPr>
        <w:t xml:space="preserve"> </w:t>
      </w:r>
      <w:r w:rsidR="00A90A6F">
        <w:rPr>
          <w:rFonts w:ascii="Verdana" w:eastAsia="Times New Roman" w:hAnsi="Verdana" w:cs="Arial"/>
          <w:w w:val="108"/>
          <w:lang w:eastAsia="es-CO"/>
        </w:rPr>
        <w:t>0</w:t>
      </w:r>
      <w:r w:rsidRPr="000B1C80">
        <w:rPr>
          <w:rFonts w:ascii="Verdana" w:eastAsia="Times New Roman" w:hAnsi="Verdana" w:cs="Arial"/>
          <w:w w:val="108"/>
          <w:lang w:eastAsia="es-CO"/>
        </w:rPr>
        <w:t>2717 de 2016, dispuso lo siguiente:</w:t>
      </w:r>
    </w:p>
    <w:p w:rsidR="00BD4C51" w:rsidRPr="000B1C80" w:rsidRDefault="00BD4C51" w:rsidP="00BD4C51">
      <w:pPr>
        <w:adjustRightInd w:val="0"/>
        <w:ind w:left="28" w:right="9"/>
        <w:jc w:val="both"/>
        <w:rPr>
          <w:rFonts w:ascii="Verdana" w:eastAsia="Times New Roman" w:hAnsi="Verdana" w:cs="Arial"/>
          <w:w w:val="108"/>
          <w:lang w:eastAsia="es-CO"/>
        </w:rPr>
      </w:pPr>
    </w:p>
    <w:p w:rsidR="00BD4C51" w:rsidRPr="000B1C80" w:rsidRDefault="00BD4C51" w:rsidP="00BD4C51">
      <w:pPr>
        <w:adjustRightInd w:val="0"/>
        <w:ind w:left="284" w:right="392"/>
        <w:jc w:val="both"/>
        <w:rPr>
          <w:rFonts w:ascii="Verdana" w:eastAsia="Times New Roman" w:hAnsi="Verdana" w:cs="Arial"/>
          <w:i/>
          <w:w w:val="108"/>
          <w:sz w:val="18"/>
          <w:lang w:eastAsia="es-CO"/>
        </w:rPr>
      </w:pPr>
      <w:r w:rsidRPr="000B1C80">
        <w:rPr>
          <w:rFonts w:ascii="Verdana" w:eastAsia="Times New Roman" w:hAnsi="Verdana" w:cs="Arial"/>
          <w:i/>
          <w:w w:val="108"/>
          <w:sz w:val="18"/>
          <w:lang w:eastAsia="es-CO"/>
        </w:rPr>
        <w:t xml:space="preserve">“Artículo 9. Hogares vinculados a la Estrategia Red Unidos. La vinculación a la Estrategia Red Unidos implica el acompañamiento familiar o comunitario y la permanencia en los listados para la gestión de oferta. Entiéndase por hogares vinculados a la Estrategia Red Unidos los siguientes: </w:t>
      </w:r>
    </w:p>
    <w:p w:rsidR="00BD4C51" w:rsidRPr="000B1C80" w:rsidRDefault="00BD4C51" w:rsidP="00BD4C51">
      <w:pPr>
        <w:adjustRightInd w:val="0"/>
        <w:ind w:left="284" w:right="392"/>
        <w:jc w:val="both"/>
        <w:rPr>
          <w:rFonts w:ascii="Verdana" w:eastAsia="Times New Roman" w:hAnsi="Verdana" w:cs="Arial"/>
          <w:i/>
          <w:w w:val="108"/>
          <w:sz w:val="18"/>
          <w:lang w:eastAsia="es-CO"/>
        </w:rPr>
      </w:pPr>
    </w:p>
    <w:p w:rsidR="00BD4C51" w:rsidRPr="000B1C80" w:rsidRDefault="00BD4C51" w:rsidP="00BD4C51">
      <w:pPr>
        <w:adjustRightInd w:val="0"/>
        <w:ind w:left="284" w:right="392"/>
        <w:jc w:val="both"/>
        <w:rPr>
          <w:rFonts w:ascii="Verdana" w:eastAsia="Times New Roman" w:hAnsi="Verdana" w:cs="Arial"/>
          <w:i/>
          <w:w w:val="108"/>
          <w:sz w:val="18"/>
          <w:lang w:eastAsia="es-CO"/>
        </w:rPr>
      </w:pPr>
      <w:r w:rsidRPr="000B1C80">
        <w:rPr>
          <w:rFonts w:ascii="Verdana" w:eastAsia="Times New Roman" w:hAnsi="Verdana" w:cs="Arial"/>
          <w:i/>
          <w:w w:val="108"/>
          <w:sz w:val="18"/>
          <w:lang w:eastAsia="es-CO"/>
        </w:rPr>
        <w:t>a. Hogares Acompañados por el Departamento Administrativo para la Prosperidad Social - Prosperidad Social.</w:t>
      </w:r>
    </w:p>
    <w:p w:rsidR="00BD4C51" w:rsidRPr="000B1C80" w:rsidRDefault="00BD4C51" w:rsidP="00BD4C51">
      <w:pPr>
        <w:adjustRightInd w:val="0"/>
        <w:ind w:left="284" w:right="392"/>
        <w:jc w:val="both"/>
        <w:rPr>
          <w:rFonts w:ascii="Verdana" w:eastAsia="Times New Roman" w:hAnsi="Verdana" w:cs="Arial"/>
          <w:i/>
          <w:w w:val="108"/>
          <w:sz w:val="18"/>
          <w:lang w:eastAsia="es-CO"/>
        </w:rPr>
      </w:pPr>
      <w:r w:rsidRPr="000B1C80">
        <w:rPr>
          <w:rFonts w:ascii="Verdana" w:eastAsia="Times New Roman" w:hAnsi="Verdana" w:cs="Arial"/>
          <w:i/>
          <w:w w:val="108"/>
          <w:sz w:val="18"/>
          <w:lang w:eastAsia="es-CO"/>
        </w:rPr>
        <w:t xml:space="preserve">b. Hogares que fueron vinculados a la Estrategia Red Unidos con anterioridad al 31 de diciembre de 2015 y que por los nuevos criterios de priorización de beneficiarios no tendrán acompañamiento. </w:t>
      </w:r>
      <w:r w:rsidRPr="000B1C80">
        <w:rPr>
          <w:rFonts w:ascii="Verdana" w:eastAsia="Times New Roman" w:hAnsi="Verdana" w:cs="Arial"/>
          <w:b/>
          <w:i/>
          <w:w w:val="108"/>
          <w:sz w:val="18"/>
          <w:u w:val="single"/>
          <w:lang w:eastAsia="es-CO"/>
        </w:rPr>
        <w:t>Estos hogares estarán vinculados hasta el 31 de diciembre de 2017</w:t>
      </w:r>
      <w:r w:rsidRPr="000B1C80">
        <w:rPr>
          <w:rFonts w:ascii="Verdana" w:eastAsia="Times New Roman" w:hAnsi="Verdana" w:cs="Arial"/>
          <w:i/>
          <w:w w:val="108"/>
          <w:sz w:val="18"/>
          <w:lang w:eastAsia="es-CO"/>
        </w:rPr>
        <w:t>.</w:t>
      </w:r>
    </w:p>
    <w:p w:rsidR="00BD4C51" w:rsidRPr="006F280F" w:rsidRDefault="00BD4C51" w:rsidP="00BD4C51">
      <w:pPr>
        <w:adjustRightInd w:val="0"/>
        <w:ind w:left="284" w:right="392"/>
        <w:jc w:val="both"/>
        <w:rPr>
          <w:rFonts w:ascii="Verdana" w:eastAsia="Times New Roman" w:hAnsi="Verdana" w:cs="Arial"/>
          <w:i/>
          <w:w w:val="108"/>
          <w:sz w:val="18"/>
          <w:lang w:eastAsia="es-CO"/>
        </w:rPr>
      </w:pPr>
      <w:r w:rsidRPr="000B1C80">
        <w:rPr>
          <w:rFonts w:ascii="Verdana" w:eastAsia="Times New Roman" w:hAnsi="Verdana" w:cs="Arial"/>
          <w:i/>
          <w:w w:val="108"/>
          <w:sz w:val="18"/>
          <w:lang w:eastAsia="es-CO"/>
        </w:rPr>
        <w:t xml:space="preserve">c. Hogares que fueron vinculados a la Estrategia Red Unidos con anterioridad al 31 de diciembre de 2015 y que se encuentren en proceso de Ubicación y Caracterización. </w:t>
      </w:r>
      <w:r w:rsidRPr="000B1C80">
        <w:rPr>
          <w:rFonts w:ascii="Verdana" w:eastAsia="Times New Roman" w:hAnsi="Verdana" w:cs="Arial"/>
          <w:b/>
          <w:i/>
          <w:w w:val="108"/>
          <w:sz w:val="18"/>
          <w:u w:val="single"/>
          <w:lang w:eastAsia="es-CO"/>
        </w:rPr>
        <w:t>Estos hogares estarán vinculados hasta el 31 de diciembre de 2017</w:t>
      </w:r>
      <w:r w:rsidRPr="000B1C80">
        <w:rPr>
          <w:rFonts w:ascii="Verdana" w:eastAsia="Times New Roman" w:hAnsi="Verdana" w:cs="Arial"/>
          <w:i/>
          <w:w w:val="108"/>
          <w:sz w:val="18"/>
          <w:lang w:eastAsia="es-CO"/>
        </w:rPr>
        <w:t>.” (Subrayado y negrilla fuera de texto).</w:t>
      </w:r>
    </w:p>
    <w:p w:rsidR="00BD4C51" w:rsidRDefault="00BD4C51" w:rsidP="00BD4C51">
      <w:pPr>
        <w:adjustRightInd w:val="0"/>
        <w:ind w:left="28" w:right="9"/>
        <w:jc w:val="both"/>
        <w:rPr>
          <w:rFonts w:ascii="Verdana" w:eastAsia="Times New Roman" w:hAnsi="Verdana" w:cs="Arial"/>
          <w:w w:val="108"/>
          <w:lang w:eastAsia="es-CO"/>
        </w:rPr>
      </w:pPr>
    </w:p>
    <w:p w:rsidR="00BD4C51" w:rsidRDefault="00BD4C51" w:rsidP="00BD4C51">
      <w:pPr>
        <w:adjustRightInd w:val="0"/>
        <w:ind w:left="28" w:right="9"/>
        <w:jc w:val="both"/>
        <w:rPr>
          <w:rFonts w:ascii="Verdana" w:eastAsia="Times New Roman" w:hAnsi="Verdana" w:cs="Arial"/>
          <w:w w:val="108"/>
          <w:lang w:eastAsia="es-CO"/>
        </w:rPr>
      </w:pPr>
      <w:r>
        <w:rPr>
          <w:rFonts w:ascii="Verdana" w:eastAsia="Times New Roman" w:hAnsi="Verdana" w:cs="Arial"/>
          <w:w w:val="108"/>
          <w:lang w:eastAsia="es-CO"/>
        </w:rPr>
        <w:t xml:space="preserve">Que el artículo 18 de la misma </w:t>
      </w:r>
      <w:r w:rsidR="00954C96">
        <w:rPr>
          <w:rFonts w:ascii="Verdana" w:eastAsia="Times New Roman" w:hAnsi="Verdana" w:cs="Arial"/>
          <w:w w:val="108"/>
          <w:lang w:eastAsia="es-CO"/>
        </w:rPr>
        <w:t>R</w:t>
      </w:r>
      <w:r>
        <w:rPr>
          <w:rFonts w:ascii="Verdana" w:eastAsia="Times New Roman" w:hAnsi="Verdana" w:cs="Arial"/>
          <w:w w:val="108"/>
          <w:lang w:eastAsia="es-CO"/>
        </w:rPr>
        <w:t>esolución, señaló:</w:t>
      </w:r>
    </w:p>
    <w:p w:rsidR="00BD4C51" w:rsidRDefault="00BD4C51" w:rsidP="00BD4C51">
      <w:pPr>
        <w:adjustRightInd w:val="0"/>
        <w:ind w:left="28" w:right="9"/>
        <w:jc w:val="both"/>
        <w:rPr>
          <w:rFonts w:ascii="Verdana" w:eastAsia="Times New Roman" w:hAnsi="Verdana" w:cs="Arial"/>
          <w:w w:val="108"/>
          <w:lang w:eastAsia="es-CO"/>
        </w:rPr>
      </w:pPr>
    </w:p>
    <w:p w:rsidR="00BD4C51" w:rsidRPr="006F280F" w:rsidRDefault="00BD4C51" w:rsidP="00BD4C51">
      <w:pPr>
        <w:adjustRightInd w:val="0"/>
        <w:ind w:left="284" w:right="392"/>
        <w:jc w:val="both"/>
        <w:rPr>
          <w:rFonts w:ascii="Verdana" w:eastAsia="Times New Roman" w:hAnsi="Verdana" w:cs="Arial"/>
          <w:i/>
          <w:w w:val="108"/>
          <w:sz w:val="18"/>
          <w:lang w:eastAsia="es-CO"/>
        </w:rPr>
      </w:pPr>
      <w:r>
        <w:rPr>
          <w:rFonts w:ascii="Verdana" w:eastAsia="Times New Roman" w:hAnsi="Verdana" w:cs="Arial"/>
          <w:i/>
          <w:w w:val="108"/>
          <w:sz w:val="18"/>
          <w:lang w:eastAsia="es-CO"/>
        </w:rPr>
        <w:t>“</w:t>
      </w:r>
      <w:r w:rsidRPr="006F280F">
        <w:rPr>
          <w:rFonts w:ascii="Verdana" w:eastAsia="Times New Roman" w:hAnsi="Verdana" w:cs="Arial"/>
          <w:i/>
          <w:w w:val="108"/>
          <w:sz w:val="18"/>
          <w:lang w:eastAsia="es-CO"/>
        </w:rPr>
        <w:t>Artículo 18. Listas de espera de cupos disponibles. Los hogares acompañados con</w:t>
      </w:r>
      <w:r>
        <w:rPr>
          <w:rFonts w:ascii="Verdana" w:eastAsia="Times New Roman" w:hAnsi="Verdana" w:cs="Arial"/>
          <w:i/>
          <w:w w:val="108"/>
          <w:sz w:val="18"/>
          <w:lang w:eastAsia="es-CO"/>
        </w:rPr>
        <w:t xml:space="preserve"> </w:t>
      </w:r>
      <w:r w:rsidRPr="006F280F">
        <w:rPr>
          <w:rFonts w:ascii="Verdana" w:eastAsia="Times New Roman" w:hAnsi="Verdana" w:cs="Arial"/>
          <w:i/>
          <w:w w:val="108"/>
          <w:sz w:val="18"/>
          <w:lang w:eastAsia="es-CO"/>
        </w:rPr>
        <w:t>anterioridad al 31 de diciembre de 2015 y que no son focalizados para el acompañamiento</w:t>
      </w:r>
      <w:r>
        <w:rPr>
          <w:rFonts w:ascii="Verdana" w:eastAsia="Times New Roman" w:hAnsi="Verdana" w:cs="Arial"/>
          <w:i/>
          <w:w w:val="108"/>
          <w:sz w:val="18"/>
          <w:lang w:eastAsia="es-CO"/>
        </w:rPr>
        <w:t xml:space="preserve"> </w:t>
      </w:r>
      <w:r w:rsidRPr="006F280F">
        <w:rPr>
          <w:rFonts w:ascii="Verdana" w:eastAsia="Times New Roman" w:hAnsi="Verdana" w:cs="Arial"/>
          <w:i/>
          <w:w w:val="108"/>
          <w:sz w:val="18"/>
          <w:lang w:eastAsia="es-CO"/>
        </w:rPr>
        <w:t>quedarán a la espera de cupos disponibles, de acuerdo con el orden del listado de hogares</w:t>
      </w:r>
      <w:r>
        <w:rPr>
          <w:rFonts w:ascii="Verdana" w:eastAsia="Times New Roman" w:hAnsi="Verdana" w:cs="Arial"/>
          <w:i/>
          <w:w w:val="108"/>
          <w:sz w:val="18"/>
          <w:lang w:eastAsia="es-CO"/>
        </w:rPr>
        <w:t xml:space="preserve"> </w:t>
      </w:r>
      <w:r w:rsidRPr="006F280F">
        <w:rPr>
          <w:rFonts w:ascii="Verdana" w:eastAsia="Times New Roman" w:hAnsi="Verdana" w:cs="Arial"/>
          <w:i/>
          <w:w w:val="108"/>
          <w:sz w:val="18"/>
          <w:lang w:eastAsia="es-CO"/>
        </w:rPr>
        <w:t>potenciales y tendrán prelación en su atención respecto a un hogar que no está vinculado en la</w:t>
      </w:r>
      <w:r>
        <w:rPr>
          <w:rFonts w:ascii="Verdana" w:eastAsia="Times New Roman" w:hAnsi="Verdana" w:cs="Arial"/>
          <w:i/>
          <w:w w:val="108"/>
          <w:sz w:val="18"/>
          <w:lang w:eastAsia="es-CO"/>
        </w:rPr>
        <w:t xml:space="preserve"> </w:t>
      </w:r>
      <w:r w:rsidRPr="006F280F">
        <w:rPr>
          <w:rFonts w:ascii="Verdana" w:eastAsia="Times New Roman" w:hAnsi="Verdana" w:cs="Arial"/>
          <w:i/>
          <w:w w:val="108"/>
          <w:sz w:val="18"/>
          <w:lang w:eastAsia="es-CO"/>
        </w:rPr>
        <w:t xml:space="preserve">estrategia de la Red Unidos. </w:t>
      </w:r>
      <w:r w:rsidRPr="006F280F">
        <w:rPr>
          <w:rFonts w:ascii="Verdana" w:eastAsia="Times New Roman" w:hAnsi="Verdana" w:cs="Arial"/>
          <w:b/>
          <w:i/>
          <w:w w:val="108"/>
          <w:sz w:val="18"/>
          <w:u w:val="single"/>
          <w:lang w:eastAsia="es-CO"/>
        </w:rPr>
        <w:t>Esta prioridad se mantendrá hasta el 31 de diciembre de 2017</w:t>
      </w:r>
      <w:r w:rsidRPr="006F280F">
        <w:rPr>
          <w:rFonts w:ascii="Verdana" w:eastAsia="Times New Roman" w:hAnsi="Verdana" w:cs="Arial"/>
          <w:i/>
          <w:w w:val="108"/>
          <w:sz w:val="18"/>
          <w:lang w:eastAsia="es-CO"/>
        </w:rPr>
        <w:t>.</w:t>
      </w:r>
      <w:r>
        <w:rPr>
          <w:rFonts w:ascii="Verdana" w:eastAsia="Times New Roman" w:hAnsi="Verdana" w:cs="Arial"/>
          <w:i/>
          <w:w w:val="108"/>
          <w:sz w:val="18"/>
          <w:lang w:eastAsia="es-CO"/>
        </w:rPr>
        <w:t>” (Subrayado y negrilla fuera de texto).</w:t>
      </w:r>
    </w:p>
    <w:p w:rsidR="00BD4C51" w:rsidRDefault="00BD4C51" w:rsidP="00BD4C51">
      <w:pPr>
        <w:adjustRightInd w:val="0"/>
        <w:ind w:left="28" w:right="9"/>
        <w:jc w:val="both"/>
        <w:rPr>
          <w:rFonts w:ascii="Verdana" w:eastAsia="Times New Roman" w:hAnsi="Verdana" w:cs="Arial"/>
          <w:w w:val="108"/>
          <w:lang w:eastAsia="es-CO"/>
        </w:rPr>
      </w:pPr>
    </w:p>
    <w:p w:rsidR="00851735" w:rsidRPr="00C760BC" w:rsidRDefault="00BD4C51" w:rsidP="004C26F2">
      <w:pPr>
        <w:adjustRightInd w:val="0"/>
        <w:ind w:left="28" w:right="9"/>
        <w:jc w:val="both"/>
        <w:rPr>
          <w:rFonts w:ascii="Verdana" w:eastAsia="Times New Roman" w:hAnsi="Verdana" w:cs="Arial"/>
          <w:w w:val="108"/>
          <w:lang w:eastAsia="es-CO"/>
        </w:rPr>
      </w:pPr>
      <w:r w:rsidRPr="00C760BC">
        <w:rPr>
          <w:rFonts w:ascii="Verdana" w:eastAsia="Times New Roman" w:hAnsi="Verdana" w:cs="Arial"/>
          <w:w w:val="108"/>
          <w:lang w:eastAsia="es-CO"/>
        </w:rPr>
        <w:t xml:space="preserve">Que se </w:t>
      </w:r>
      <w:r w:rsidR="004C26F2" w:rsidRPr="00C760BC">
        <w:rPr>
          <w:rFonts w:ascii="Verdana" w:eastAsia="Times New Roman" w:hAnsi="Verdana" w:cs="Arial"/>
          <w:w w:val="108"/>
          <w:lang w:eastAsia="es-CO"/>
        </w:rPr>
        <w:t xml:space="preserve">requiere modificar el </w:t>
      </w:r>
      <w:r w:rsidR="00954C96" w:rsidRPr="00C760BC">
        <w:rPr>
          <w:rFonts w:ascii="Verdana" w:eastAsia="Times New Roman" w:hAnsi="Verdana" w:cs="Arial"/>
          <w:w w:val="108"/>
          <w:lang w:eastAsia="es-CO"/>
        </w:rPr>
        <w:t>a</w:t>
      </w:r>
      <w:r w:rsidR="004C26F2" w:rsidRPr="00C760BC">
        <w:rPr>
          <w:rFonts w:ascii="Verdana" w:eastAsia="Times New Roman" w:hAnsi="Verdana" w:cs="Arial"/>
          <w:w w:val="108"/>
          <w:lang w:eastAsia="es-CO"/>
        </w:rPr>
        <w:t xml:space="preserve">rtículo 9 </w:t>
      </w:r>
      <w:r w:rsidR="00954C96" w:rsidRPr="00C760BC">
        <w:rPr>
          <w:rFonts w:ascii="Verdana" w:eastAsia="Times New Roman" w:hAnsi="Verdana" w:cs="Arial"/>
          <w:w w:val="108"/>
          <w:lang w:eastAsia="es-CO"/>
        </w:rPr>
        <w:t xml:space="preserve">de la Resolución No 02717 de 2016, </w:t>
      </w:r>
      <w:r w:rsidR="004C26F2" w:rsidRPr="00C760BC">
        <w:rPr>
          <w:rFonts w:ascii="Verdana" w:eastAsia="Times New Roman" w:hAnsi="Verdana" w:cs="Arial"/>
          <w:w w:val="108"/>
          <w:lang w:eastAsia="es-CO"/>
        </w:rPr>
        <w:t>en lo referente a la fecha de vigencia de los listados de la Fuente UNIDOS 2015, en razón a que la operación vigente dio inicio en octubre del presente año y está proyectada hasta el 15 de septiembre de 2018. En este sentido, el no inicio de la operación en los tiempos previstos retrasó el proceso de localización y caracterización de los hogares de los listados en mención.</w:t>
      </w:r>
    </w:p>
    <w:p w:rsidR="00851735" w:rsidRPr="00C760BC" w:rsidRDefault="00851735" w:rsidP="004C26F2">
      <w:pPr>
        <w:adjustRightInd w:val="0"/>
        <w:ind w:left="28" w:right="9"/>
        <w:jc w:val="both"/>
        <w:rPr>
          <w:rFonts w:ascii="Verdana" w:eastAsia="Times New Roman" w:hAnsi="Verdana" w:cs="Arial"/>
          <w:w w:val="108"/>
          <w:lang w:eastAsia="es-CO"/>
        </w:rPr>
      </w:pPr>
    </w:p>
    <w:p w:rsidR="00851735" w:rsidRPr="00C760BC" w:rsidRDefault="00851735" w:rsidP="004C26F2">
      <w:pPr>
        <w:adjustRightInd w:val="0"/>
        <w:ind w:left="28" w:right="9"/>
        <w:jc w:val="both"/>
        <w:rPr>
          <w:rFonts w:ascii="Verdana" w:eastAsia="Times New Roman" w:hAnsi="Verdana" w:cs="Arial"/>
          <w:w w:val="108"/>
          <w:lang w:eastAsia="es-CO"/>
        </w:rPr>
      </w:pPr>
      <w:r w:rsidRPr="00C760BC">
        <w:rPr>
          <w:rFonts w:ascii="Verdana" w:eastAsia="Times New Roman" w:hAnsi="Verdana" w:cs="Arial"/>
          <w:w w:val="108"/>
          <w:lang w:eastAsia="es-CO"/>
        </w:rPr>
        <w:t xml:space="preserve">Que se tiene prevista atender progresivamente </w:t>
      </w:r>
      <w:r w:rsidR="004C26F2" w:rsidRPr="00C760BC">
        <w:rPr>
          <w:rFonts w:ascii="Verdana" w:eastAsia="Times New Roman" w:hAnsi="Verdana" w:cs="Arial"/>
          <w:w w:val="108"/>
          <w:lang w:eastAsia="es-CO"/>
        </w:rPr>
        <w:t xml:space="preserve">durante la operación de los primeros 9 meses del 2018 los hogares de los listados entregados por Focalización, conforme a los criterios establecidos en la </w:t>
      </w:r>
      <w:r w:rsidRPr="00C760BC">
        <w:rPr>
          <w:rFonts w:ascii="Verdana" w:eastAsia="Times New Roman" w:hAnsi="Verdana" w:cs="Arial"/>
          <w:w w:val="108"/>
          <w:lang w:eastAsia="es-CO"/>
        </w:rPr>
        <w:t>R</w:t>
      </w:r>
      <w:r w:rsidR="004C26F2" w:rsidRPr="00C760BC">
        <w:rPr>
          <w:rFonts w:ascii="Verdana" w:eastAsia="Times New Roman" w:hAnsi="Verdana" w:cs="Arial"/>
          <w:w w:val="108"/>
          <w:lang w:eastAsia="es-CO"/>
        </w:rPr>
        <w:t xml:space="preserve">esolución </w:t>
      </w:r>
      <w:r w:rsidRPr="00C760BC">
        <w:rPr>
          <w:rFonts w:ascii="Verdana" w:eastAsia="Times New Roman" w:hAnsi="Verdana" w:cs="Arial"/>
          <w:w w:val="108"/>
          <w:lang w:eastAsia="es-CO"/>
        </w:rPr>
        <w:t>No. 0</w:t>
      </w:r>
      <w:r w:rsidR="004C26F2" w:rsidRPr="00C760BC">
        <w:rPr>
          <w:rFonts w:ascii="Verdana" w:eastAsia="Times New Roman" w:hAnsi="Verdana" w:cs="Arial"/>
          <w:w w:val="108"/>
          <w:lang w:eastAsia="es-CO"/>
        </w:rPr>
        <w:t>2717 de 2016 y que se encuentran vigentes</w:t>
      </w:r>
      <w:r w:rsidRPr="00C760BC">
        <w:rPr>
          <w:rFonts w:ascii="Verdana" w:eastAsia="Times New Roman" w:hAnsi="Verdana" w:cs="Arial"/>
          <w:w w:val="108"/>
          <w:lang w:eastAsia="es-CO"/>
        </w:rPr>
        <w:t>.</w:t>
      </w:r>
    </w:p>
    <w:p w:rsidR="00851735" w:rsidRPr="00C760BC" w:rsidRDefault="00851735" w:rsidP="004C26F2">
      <w:pPr>
        <w:adjustRightInd w:val="0"/>
        <w:ind w:left="28" w:right="9"/>
        <w:jc w:val="both"/>
        <w:rPr>
          <w:rFonts w:ascii="Verdana" w:eastAsia="Times New Roman" w:hAnsi="Verdana" w:cs="Arial"/>
          <w:w w:val="108"/>
          <w:lang w:eastAsia="es-CO"/>
        </w:rPr>
      </w:pPr>
    </w:p>
    <w:p w:rsidR="00BD4C51" w:rsidRDefault="00851735" w:rsidP="004C26F2">
      <w:pPr>
        <w:adjustRightInd w:val="0"/>
        <w:ind w:left="28" w:right="9"/>
        <w:jc w:val="both"/>
        <w:rPr>
          <w:rFonts w:ascii="Verdana" w:eastAsia="Times New Roman" w:hAnsi="Verdana" w:cs="Arial"/>
          <w:w w:val="108"/>
          <w:lang w:eastAsia="es-CO"/>
        </w:rPr>
      </w:pPr>
      <w:r w:rsidRPr="00C760BC">
        <w:rPr>
          <w:rFonts w:ascii="Verdana" w:eastAsia="Times New Roman" w:hAnsi="Verdana" w:cs="Arial"/>
          <w:w w:val="108"/>
          <w:lang w:eastAsia="es-CO"/>
        </w:rPr>
        <w:t xml:space="preserve">Que por lo anterior se requiere prorrogar </w:t>
      </w:r>
      <w:r w:rsidR="004C26F2" w:rsidRPr="00C760BC">
        <w:rPr>
          <w:rFonts w:ascii="Verdana" w:eastAsia="Times New Roman" w:hAnsi="Verdana" w:cs="Arial"/>
          <w:w w:val="108"/>
          <w:lang w:eastAsia="es-CO"/>
        </w:rPr>
        <w:t xml:space="preserve">la fecha </w:t>
      </w:r>
      <w:r w:rsidRPr="00C760BC">
        <w:rPr>
          <w:rFonts w:ascii="Verdana" w:eastAsia="Times New Roman" w:hAnsi="Verdana" w:cs="Arial"/>
          <w:w w:val="108"/>
          <w:lang w:eastAsia="es-CO"/>
        </w:rPr>
        <w:t xml:space="preserve">establecida en el artículo 9, así como la señalada en el </w:t>
      </w:r>
      <w:r w:rsidR="004C26F2" w:rsidRPr="00C760BC">
        <w:rPr>
          <w:rFonts w:ascii="Verdana" w:eastAsia="Times New Roman" w:hAnsi="Verdana" w:cs="Arial"/>
          <w:w w:val="108"/>
          <w:lang w:eastAsia="es-CO"/>
        </w:rPr>
        <w:t>artículo 18 “Listas de espera de cupos disponibles”</w:t>
      </w:r>
      <w:r w:rsidRPr="00C760BC">
        <w:rPr>
          <w:rFonts w:ascii="Verdana" w:eastAsia="Times New Roman" w:hAnsi="Verdana" w:cs="Arial"/>
          <w:w w:val="108"/>
          <w:lang w:eastAsia="es-CO"/>
        </w:rPr>
        <w:t xml:space="preserve">, fijando </w:t>
      </w:r>
      <w:r w:rsidR="004C26F2" w:rsidRPr="00C760BC">
        <w:rPr>
          <w:rFonts w:ascii="Verdana" w:eastAsia="Times New Roman" w:hAnsi="Verdana" w:cs="Arial"/>
          <w:w w:val="108"/>
          <w:lang w:eastAsia="es-CO"/>
        </w:rPr>
        <w:t xml:space="preserve">como fecha máxima para mantener la prioridad </w:t>
      </w:r>
      <w:r w:rsidRPr="00C760BC">
        <w:rPr>
          <w:rFonts w:ascii="Verdana" w:eastAsia="Times New Roman" w:hAnsi="Verdana" w:cs="Arial"/>
          <w:w w:val="108"/>
          <w:lang w:eastAsia="es-CO"/>
        </w:rPr>
        <w:t xml:space="preserve">de los hogares acompañados con anterioridad al 31 de diciembre de 2015, hasta </w:t>
      </w:r>
      <w:r w:rsidR="004C26F2" w:rsidRPr="00C760BC">
        <w:rPr>
          <w:rFonts w:ascii="Verdana" w:eastAsia="Times New Roman" w:hAnsi="Verdana" w:cs="Arial"/>
          <w:w w:val="108"/>
          <w:lang w:eastAsia="es-CO"/>
        </w:rPr>
        <w:t xml:space="preserve">el </w:t>
      </w:r>
      <w:r w:rsidRPr="00C760BC">
        <w:rPr>
          <w:rFonts w:ascii="Verdana" w:eastAsia="Times New Roman" w:hAnsi="Verdana" w:cs="Arial"/>
          <w:w w:val="108"/>
          <w:lang w:eastAsia="es-CO"/>
        </w:rPr>
        <w:t>30</w:t>
      </w:r>
      <w:r w:rsidR="004C26F2" w:rsidRPr="00C760BC">
        <w:rPr>
          <w:rFonts w:ascii="Verdana" w:eastAsia="Times New Roman" w:hAnsi="Verdana" w:cs="Arial"/>
          <w:w w:val="108"/>
          <w:lang w:eastAsia="es-CO"/>
        </w:rPr>
        <w:t xml:space="preserve"> de septiembre de 2018.</w:t>
      </w:r>
    </w:p>
    <w:p w:rsidR="00BD4C51" w:rsidRPr="00562F16" w:rsidRDefault="00BD4C51" w:rsidP="00BD4C51">
      <w:pPr>
        <w:adjustRightInd w:val="0"/>
        <w:ind w:left="28" w:right="9"/>
        <w:jc w:val="both"/>
        <w:rPr>
          <w:rFonts w:ascii="Verdana" w:eastAsia="Times New Roman" w:hAnsi="Verdana" w:cs="Arial"/>
          <w:w w:val="108"/>
          <w:lang w:eastAsia="es-CO"/>
        </w:rPr>
      </w:pPr>
    </w:p>
    <w:p w:rsidR="00BD4C51" w:rsidRPr="00562F16" w:rsidRDefault="00BD4C51" w:rsidP="00BD4C51">
      <w:pPr>
        <w:adjustRightInd w:val="0"/>
        <w:ind w:left="28" w:right="9"/>
        <w:jc w:val="both"/>
        <w:rPr>
          <w:rFonts w:ascii="Verdana" w:eastAsia="Times New Roman" w:hAnsi="Verdana" w:cs="Arial"/>
          <w:w w:val="108"/>
          <w:lang w:eastAsia="es-CO"/>
        </w:rPr>
      </w:pPr>
    </w:p>
    <w:p w:rsidR="00BD4C51" w:rsidRPr="00562F16" w:rsidRDefault="00BD4C51" w:rsidP="00BD4C51">
      <w:pPr>
        <w:adjustRightInd w:val="0"/>
        <w:ind w:left="28" w:right="9"/>
        <w:jc w:val="both"/>
        <w:rPr>
          <w:rFonts w:ascii="Verdana" w:eastAsia="Times New Roman" w:hAnsi="Verdana" w:cs="Arial"/>
          <w:w w:val="108"/>
          <w:lang w:eastAsia="es-CO"/>
        </w:rPr>
      </w:pPr>
      <w:proofErr w:type="gramStart"/>
      <w:r w:rsidRPr="00562F16">
        <w:rPr>
          <w:rFonts w:ascii="Verdana" w:eastAsia="Times New Roman" w:hAnsi="Verdana" w:cs="Arial"/>
          <w:w w:val="108"/>
          <w:lang w:eastAsia="es-CO"/>
        </w:rPr>
        <w:t>Que</w:t>
      </w:r>
      <w:proofErr w:type="gramEnd"/>
      <w:r w:rsidRPr="00562F16">
        <w:rPr>
          <w:rFonts w:ascii="Verdana" w:eastAsia="Times New Roman" w:hAnsi="Verdana" w:cs="Arial"/>
          <w:w w:val="108"/>
          <w:lang w:eastAsia="es-CO"/>
        </w:rPr>
        <w:t xml:space="preserve"> en mérito de lo expuesto, </w:t>
      </w:r>
    </w:p>
    <w:p w:rsidR="00BD4C51" w:rsidRPr="00882474" w:rsidRDefault="00BD4C51" w:rsidP="00BD4C51">
      <w:pPr>
        <w:rPr>
          <w:rFonts w:ascii="Verdana" w:hAnsi="Verdana" w:cs="Arial"/>
          <w:b/>
          <w:bCs/>
          <w:spacing w:val="-3"/>
          <w:sz w:val="22"/>
          <w:szCs w:val="22"/>
        </w:rPr>
      </w:pPr>
    </w:p>
    <w:p w:rsidR="00BD4C51" w:rsidRPr="00882474" w:rsidRDefault="00BD4C51" w:rsidP="00BD4C51">
      <w:pPr>
        <w:pStyle w:val="textonormal"/>
        <w:spacing w:line="240" w:lineRule="auto"/>
        <w:jc w:val="center"/>
        <w:rPr>
          <w:rFonts w:ascii="Verdana" w:hAnsi="Verdana"/>
          <w:b/>
          <w:color w:val="000000"/>
          <w:sz w:val="20"/>
          <w:szCs w:val="20"/>
        </w:rPr>
      </w:pPr>
      <w:r w:rsidRPr="00882474">
        <w:rPr>
          <w:rFonts w:ascii="Verdana" w:hAnsi="Verdana"/>
          <w:b/>
          <w:color w:val="000000"/>
          <w:sz w:val="20"/>
          <w:szCs w:val="20"/>
        </w:rPr>
        <w:t>RESUELVE</w:t>
      </w:r>
    </w:p>
    <w:p w:rsidR="00BD4C51" w:rsidRDefault="00BD4C51" w:rsidP="00BD4C51">
      <w:pPr>
        <w:pStyle w:val="Estilo"/>
        <w:ind w:left="9" w:right="18"/>
        <w:jc w:val="both"/>
        <w:rPr>
          <w:rFonts w:ascii="Verdana" w:hAnsi="Verdana"/>
          <w:b/>
          <w:w w:val="106"/>
          <w:sz w:val="20"/>
          <w:szCs w:val="20"/>
        </w:rPr>
      </w:pPr>
    </w:p>
    <w:p w:rsidR="00BD4C51" w:rsidRDefault="00BD4C51" w:rsidP="00BD4C51">
      <w:pPr>
        <w:pStyle w:val="Estilo"/>
        <w:ind w:left="9" w:right="18"/>
        <w:jc w:val="both"/>
        <w:rPr>
          <w:rFonts w:ascii="Verdana" w:hAnsi="Verdana"/>
          <w:w w:val="106"/>
          <w:sz w:val="20"/>
          <w:szCs w:val="20"/>
        </w:rPr>
      </w:pPr>
      <w:r w:rsidRPr="00882474">
        <w:rPr>
          <w:rFonts w:ascii="Verdana" w:hAnsi="Verdana"/>
          <w:b/>
          <w:w w:val="106"/>
          <w:sz w:val="20"/>
          <w:szCs w:val="20"/>
        </w:rPr>
        <w:t xml:space="preserve">ARTÍCULO </w:t>
      </w:r>
      <w:r w:rsidR="00A90A6F">
        <w:rPr>
          <w:rFonts w:ascii="Verdana" w:hAnsi="Verdana"/>
          <w:b/>
          <w:w w:val="106"/>
          <w:sz w:val="20"/>
          <w:szCs w:val="20"/>
        </w:rPr>
        <w:t>1.</w:t>
      </w:r>
      <w:r w:rsidRPr="00882474">
        <w:rPr>
          <w:rFonts w:ascii="Verdana" w:hAnsi="Verdana"/>
          <w:w w:val="106"/>
          <w:sz w:val="20"/>
          <w:szCs w:val="20"/>
        </w:rPr>
        <w:t xml:space="preserve"> </w:t>
      </w:r>
      <w:r>
        <w:rPr>
          <w:rFonts w:ascii="Verdana" w:hAnsi="Verdana"/>
          <w:w w:val="106"/>
          <w:sz w:val="20"/>
          <w:szCs w:val="20"/>
        </w:rPr>
        <w:t xml:space="preserve">Modificar el artículo 9 de la Resolución </w:t>
      </w:r>
      <w:r w:rsidR="00A90A6F">
        <w:rPr>
          <w:rFonts w:ascii="Verdana" w:hAnsi="Verdana"/>
          <w:w w:val="106"/>
          <w:sz w:val="20"/>
          <w:szCs w:val="20"/>
        </w:rPr>
        <w:t>0</w:t>
      </w:r>
      <w:r>
        <w:rPr>
          <w:rFonts w:ascii="Verdana" w:hAnsi="Verdana"/>
          <w:w w:val="106"/>
          <w:sz w:val="20"/>
          <w:szCs w:val="20"/>
        </w:rPr>
        <w:t>2717 de 2016, el cual quedará así:</w:t>
      </w:r>
    </w:p>
    <w:p w:rsidR="00BD4C51" w:rsidRPr="000F0726" w:rsidRDefault="00BD4C51" w:rsidP="00BD4C51">
      <w:pPr>
        <w:pStyle w:val="Estilo"/>
        <w:ind w:left="284" w:right="392"/>
        <w:jc w:val="both"/>
        <w:rPr>
          <w:rFonts w:ascii="Verdana" w:hAnsi="Verdana"/>
          <w:i/>
          <w:w w:val="106"/>
          <w:sz w:val="20"/>
          <w:szCs w:val="20"/>
        </w:rPr>
      </w:pPr>
    </w:p>
    <w:p w:rsidR="00BD4C51" w:rsidRPr="000B1C80" w:rsidRDefault="00BD4C51" w:rsidP="00BD4C51">
      <w:pPr>
        <w:pStyle w:val="Estilo"/>
        <w:ind w:left="284" w:right="392"/>
        <w:jc w:val="both"/>
        <w:rPr>
          <w:rFonts w:ascii="Verdana" w:hAnsi="Verdana"/>
          <w:i/>
          <w:w w:val="106"/>
          <w:sz w:val="20"/>
          <w:szCs w:val="20"/>
        </w:rPr>
      </w:pPr>
      <w:r w:rsidRPr="000B1C80">
        <w:rPr>
          <w:rFonts w:ascii="Verdana" w:hAnsi="Verdana"/>
          <w:i/>
          <w:w w:val="106"/>
          <w:sz w:val="20"/>
          <w:szCs w:val="20"/>
        </w:rPr>
        <w:t xml:space="preserve">“Artículo 9. Hogares vinculados a la Estrategia Red Unidos. La vinculación a la Estrategia Red Unidos implica el acompañamiento familiar o comunitario y la permanencia en los listados para la gestión de oferta. Entiéndase por hogares vinculados a la Estrategia Red Unidos los siguientes: </w:t>
      </w:r>
    </w:p>
    <w:p w:rsidR="00BD4C51" w:rsidRPr="000B1C80" w:rsidRDefault="00BD4C51" w:rsidP="00BD4C51">
      <w:pPr>
        <w:pStyle w:val="Estilo"/>
        <w:ind w:left="284" w:right="392"/>
        <w:jc w:val="both"/>
        <w:rPr>
          <w:rFonts w:ascii="Verdana" w:hAnsi="Verdana"/>
          <w:i/>
          <w:w w:val="106"/>
          <w:sz w:val="20"/>
          <w:szCs w:val="20"/>
        </w:rPr>
      </w:pPr>
    </w:p>
    <w:p w:rsidR="00BD4C51" w:rsidRPr="000B1C80" w:rsidRDefault="00BD4C51" w:rsidP="00BD4C51">
      <w:pPr>
        <w:pStyle w:val="Estilo"/>
        <w:ind w:left="284" w:right="392"/>
        <w:jc w:val="both"/>
        <w:rPr>
          <w:rFonts w:ascii="Verdana" w:hAnsi="Verdana"/>
          <w:i/>
          <w:w w:val="106"/>
          <w:sz w:val="20"/>
          <w:szCs w:val="20"/>
        </w:rPr>
      </w:pPr>
      <w:r w:rsidRPr="000B1C80">
        <w:rPr>
          <w:rFonts w:ascii="Verdana" w:hAnsi="Verdana"/>
          <w:i/>
          <w:w w:val="106"/>
          <w:sz w:val="20"/>
          <w:szCs w:val="20"/>
        </w:rPr>
        <w:t>a. Hogares Acompañados por el Departamento Administrativo para la Prosperidad Social - Prosperidad Social.</w:t>
      </w:r>
    </w:p>
    <w:p w:rsidR="00BD4C51" w:rsidRPr="000B1C80" w:rsidRDefault="00BD4C51" w:rsidP="00BD4C51">
      <w:pPr>
        <w:pStyle w:val="Estilo"/>
        <w:ind w:left="284" w:right="392"/>
        <w:jc w:val="both"/>
        <w:rPr>
          <w:rFonts w:ascii="Verdana" w:hAnsi="Verdana"/>
          <w:i/>
          <w:w w:val="106"/>
          <w:sz w:val="20"/>
          <w:szCs w:val="20"/>
        </w:rPr>
      </w:pPr>
      <w:r w:rsidRPr="000B1C80">
        <w:rPr>
          <w:rFonts w:ascii="Verdana" w:hAnsi="Verdana"/>
          <w:i/>
          <w:w w:val="106"/>
          <w:sz w:val="20"/>
          <w:szCs w:val="20"/>
        </w:rPr>
        <w:t>b. Hogares que fueron vinculados a la Estrategia Red Unidos con anterioridad al 31 de diciembre de 2015 y que por los nuevos criterios de priorización de beneficiarios no tendrán acompañamiento. Estos hogares estarán vinculados hasta el 30 de septiembre de 2018.</w:t>
      </w:r>
    </w:p>
    <w:p w:rsidR="00BD4C51" w:rsidRPr="000B1C80" w:rsidRDefault="00BD4C51" w:rsidP="00BD4C51">
      <w:pPr>
        <w:pStyle w:val="Estilo"/>
        <w:ind w:left="284" w:right="392"/>
        <w:jc w:val="both"/>
        <w:rPr>
          <w:rFonts w:ascii="Verdana" w:hAnsi="Verdana"/>
          <w:i/>
          <w:w w:val="106"/>
          <w:sz w:val="20"/>
          <w:szCs w:val="20"/>
        </w:rPr>
      </w:pPr>
      <w:r w:rsidRPr="000B1C80">
        <w:rPr>
          <w:rFonts w:ascii="Verdana" w:hAnsi="Verdana"/>
          <w:i/>
          <w:w w:val="106"/>
          <w:sz w:val="20"/>
          <w:szCs w:val="20"/>
        </w:rPr>
        <w:t>c. Hogares que fueron vinculados a la Estrategia Red Unidos con anterioridad al 31 de diciembre de 2015 y que se encuentren en proceso de Ubicación y Caracterización. Estos hogares estarán vinculados hasta el 30 de septiembre de 2018.”</w:t>
      </w:r>
    </w:p>
    <w:p w:rsidR="00BD4C51" w:rsidRPr="000B1C80" w:rsidRDefault="00BD4C51" w:rsidP="00BD4C51">
      <w:pPr>
        <w:pStyle w:val="Estilo"/>
        <w:ind w:left="9" w:right="9"/>
        <w:jc w:val="both"/>
        <w:rPr>
          <w:rFonts w:ascii="Verdana" w:hAnsi="Verdana"/>
          <w:b/>
          <w:w w:val="106"/>
          <w:sz w:val="20"/>
          <w:szCs w:val="20"/>
        </w:rPr>
      </w:pPr>
    </w:p>
    <w:p w:rsidR="00BD4C51" w:rsidRPr="000B1C80" w:rsidRDefault="00BD4C51" w:rsidP="00BD4C51">
      <w:pPr>
        <w:pStyle w:val="Estilo"/>
        <w:ind w:left="9" w:right="18"/>
        <w:jc w:val="both"/>
        <w:rPr>
          <w:rFonts w:ascii="Verdana" w:hAnsi="Verdana"/>
          <w:w w:val="106"/>
          <w:sz w:val="20"/>
          <w:szCs w:val="20"/>
        </w:rPr>
      </w:pPr>
      <w:r w:rsidRPr="000B1C80">
        <w:rPr>
          <w:rFonts w:ascii="Verdana" w:hAnsi="Verdana"/>
          <w:b/>
          <w:w w:val="106"/>
          <w:sz w:val="20"/>
          <w:szCs w:val="20"/>
        </w:rPr>
        <w:t xml:space="preserve">ARTÍCULO </w:t>
      </w:r>
      <w:r w:rsidR="00A90A6F">
        <w:rPr>
          <w:rFonts w:ascii="Verdana" w:hAnsi="Verdana"/>
          <w:b/>
          <w:w w:val="106"/>
          <w:sz w:val="20"/>
          <w:szCs w:val="20"/>
        </w:rPr>
        <w:t>2.</w:t>
      </w:r>
      <w:r w:rsidRPr="000B1C80">
        <w:rPr>
          <w:rFonts w:ascii="Verdana" w:hAnsi="Verdana"/>
          <w:w w:val="106"/>
          <w:sz w:val="20"/>
          <w:szCs w:val="20"/>
        </w:rPr>
        <w:t xml:space="preserve"> Modificar el artículo </w:t>
      </w:r>
      <w:r w:rsidR="00A12AA9">
        <w:rPr>
          <w:rFonts w:ascii="Verdana" w:hAnsi="Verdana"/>
          <w:w w:val="106"/>
          <w:sz w:val="20"/>
          <w:szCs w:val="20"/>
        </w:rPr>
        <w:t>18</w:t>
      </w:r>
      <w:r w:rsidRPr="000B1C80">
        <w:rPr>
          <w:rFonts w:ascii="Verdana" w:hAnsi="Verdana"/>
          <w:w w:val="106"/>
          <w:sz w:val="20"/>
          <w:szCs w:val="20"/>
        </w:rPr>
        <w:t xml:space="preserve"> de la Resolución </w:t>
      </w:r>
      <w:r w:rsidR="00A90A6F">
        <w:rPr>
          <w:rFonts w:ascii="Verdana" w:hAnsi="Verdana"/>
          <w:w w:val="106"/>
          <w:sz w:val="20"/>
          <w:szCs w:val="20"/>
        </w:rPr>
        <w:t>0</w:t>
      </w:r>
      <w:r w:rsidRPr="000B1C80">
        <w:rPr>
          <w:rFonts w:ascii="Verdana" w:hAnsi="Verdana"/>
          <w:w w:val="106"/>
          <w:sz w:val="20"/>
          <w:szCs w:val="20"/>
        </w:rPr>
        <w:t>2717 de 2016, el cual quedará así:</w:t>
      </w:r>
    </w:p>
    <w:p w:rsidR="00BD4C51" w:rsidRPr="000B1C80" w:rsidRDefault="00BD4C51" w:rsidP="00BD4C51">
      <w:pPr>
        <w:pStyle w:val="Estilo"/>
        <w:ind w:left="9" w:right="9"/>
        <w:jc w:val="both"/>
        <w:rPr>
          <w:rFonts w:ascii="Verdana" w:hAnsi="Verdana"/>
          <w:w w:val="106"/>
          <w:sz w:val="20"/>
          <w:szCs w:val="20"/>
          <w:lang w:bidi="he-IL"/>
        </w:rPr>
      </w:pPr>
    </w:p>
    <w:p w:rsidR="00BD4C51" w:rsidRPr="000B1C80" w:rsidRDefault="00BD4C51" w:rsidP="00BD4C51">
      <w:pPr>
        <w:pStyle w:val="Estilo"/>
        <w:ind w:left="284" w:right="392"/>
        <w:jc w:val="both"/>
        <w:rPr>
          <w:rFonts w:ascii="Verdana" w:hAnsi="Verdana"/>
          <w:b/>
          <w:w w:val="106"/>
          <w:sz w:val="22"/>
          <w:szCs w:val="20"/>
        </w:rPr>
      </w:pPr>
      <w:r w:rsidRPr="000B1C80">
        <w:rPr>
          <w:rFonts w:ascii="Verdana" w:hAnsi="Verdana"/>
          <w:i/>
          <w:w w:val="108"/>
          <w:sz w:val="20"/>
        </w:rPr>
        <w:t>“Artículo 18. Listas de espera de cupos disponibles. Los hogares acompañados con anterioridad al 31 de diciembre de 2015 y que no son focalizados para el acompañamiento quedarán a la espera de cupos disponibles, de acuerdo con el orden del listado de hogares potenciales y tendrán prelación en su atención respecto a un hogar que no está vinculado en la estrategia de la Red Unidos. Esta prioridad se mantendrá hasta el 30 de septiembre de 2018.”</w:t>
      </w:r>
    </w:p>
    <w:p w:rsidR="00BD4C51" w:rsidRDefault="00BD4C51" w:rsidP="00BD4C51">
      <w:pPr>
        <w:pStyle w:val="Estilo"/>
        <w:ind w:left="28" w:right="9"/>
        <w:jc w:val="both"/>
        <w:rPr>
          <w:rFonts w:ascii="Verdana" w:hAnsi="Verdana"/>
          <w:b/>
          <w:w w:val="106"/>
          <w:sz w:val="20"/>
          <w:szCs w:val="20"/>
        </w:rPr>
      </w:pPr>
    </w:p>
    <w:p w:rsidR="00BD4C51" w:rsidRPr="00882474" w:rsidRDefault="00BD4C51" w:rsidP="00BD4C51">
      <w:pPr>
        <w:pStyle w:val="Estilo"/>
        <w:ind w:left="28" w:right="9"/>
        <w:jc w:val="both"/>
        <w:rPr>
          <w:rFonts w:ascii="Verdana" w:hAnsi="Verdana"/>
          <w:w w:val="106"/>
          <w:sz w:val="20"/>
          <w:szCs w:val="20"/>
        </w:rPr>
      </w:pPr>
      <w:r w:rsidRPr="00882474">
        <w:rPr>
          <w:rFonts w:ascii="Verdana" w:hAnsi="Verdana"/>
          <w:b/>
          <w:w w:val="106"/>
          <w:sz w:val="20"/>
          <w:szCs w:val="20"/>
        </w:rPr>
        <w:t xml:space="preserve">ARTÍCULO </w:t>
      </w:r>
      <w:r w:rsidR="00A90A6F">
        <w:rPr>
          <w:rFonts w:ascii="Verdana" w:hAnsi="Verdana"/>
          <w:b/>
          <w:w w:val="106"/>
          <w:sz w:val="20"/>
          <w:szCs w:val="20"/>
        </w:rPr>
        <w:t>3.</w:t>
      </w:r>
      <w:r w:rsidRPr="00882474">
        <w:rPr>
          <w:rFonts w:ascii="Verdana" w:hAnsi="Verdana"/>
          <w:w w:val="106"/>
          <w:sz w:val="20"/>
          <w:szCs w:val="20"/>
        </w:rPr>
        <w:t xml:space="preserve"> La presente Resolución rige a partir de su </w:t>
      </w:r>
      <w:r>
        <w:rPr>
          <w:rFonts w:ascii="Verdana" w:hAnsi="Verdana"/>
          <w:w w:val="106"/>
          <w:sz w:val="20"/>
          <w:szCs w:val="20"/>
        </w:rPr>
        <w:t>publicación</w:t>
      </w:r>
      <w:r w:rsidRPr="00882474">
        <w:rPr>
          <w:rFonts w:ascii="Verdana" w:hAnsi="Verdana"/>
          <w:w w:val="106"/>
          <w:sz w:val="20"/>
          <w:szCs w:val="20"/>
        </w:rPr>
        <w:t xml:space="preserve"> y </w:t>
      </w:r>
      <w:r>
        <w:rPr>
          <w:rFonts w:ascii="Verdana" w:hAnsi="Verdana"/>
          <w:w w:val="106"/>
          <w:sz w:val="20"/>
          <w:szCs w:val="20"/>
        </w:rPr>
        <w:t>modifica en lo pertinente</w:t>
      </w:r>
      <w:r w:rsidRPr="00882474">
        <w:rPr>
          <w:rFonts w:ascii="Verdana" w:hAnsi="Verdana"/>
          <w:w w:val="106"/>
          <w:sz w:val="20"/>
          <w:szCs w:val="20"/>
        </w:rPr>
        <w:t xml:space="preserve"> la Resolución </w:t>
      </w:r>
      <w:r w:rsidR="00851735">
        <w:rPr>
          <w:rFonts w:ascii="Verdana" w:hAnsi="Verdana"/>
          <w:w w:val="106"/>
          <w:sz w:val="20"/>
          <w:szCs w:val="20"/>
        </w:rPr>
        <w:t>No. 0</w:t>
      </w:r>
      <w:r>
        <w:rPr>
          <w:rFonts w:ascii="Verdana" w:hAnsi="Verdana"/>
          <w:w w:val="106"/>
          <w:sz w:val="20"/>
          <w:szCs w:val="20"/>
        </w:rPr>
        <w:t>2717</w:t>
      </w:r>
      <w:r w:rsidRPr="00882474">
        <w:rPr>
          <w:rFonts w:ascii="Verdana" w:hAnsi="Verdana"/>
          <w:w w:val="106"/>
          <w:sz w:val="20"/>
          <w:szCs w:val="20"/>
        </w:rPr>
        <w:t xml:space="preserve"> de 201</w:t>
      </w:r>
      <w:r>
        <w:rPr>
          <w:rFonts w:ascii="Verdana" w:hAnsi="Verdana"/>
          <w:w w:val="106"/>
          <w:sz w:val="20"/>
          <w:szCs w:val="20"/>
        </w:rPr>
        <w:t>6</w:t>
      </w:r>
      <w:r w:rsidRPr="00882474">
        <w:rPr>
          <w:rFonts w:ascii="Verdana" w:hAnsi="Verdana"/>
          <w:w w:val="106"/>
          <w:sz w:val="20"/>
          <w:szCs w:val="20"/>
        </w:rPr>
        <w:t xml:space="preserve">. </w:t>
      </w:r>
    </w:p>
    <w:p w:rsidR="00BD4C51" w:rsidRDefault="00BD4C51" w:rsidP="00BD4C51">
      <w:pPr>
        <w:pStyle w:val="textonormal"/>
        <w:spacing w:line="240" w:lineRule="auto"/>
        <w:rPr>
          <w:rFonts w:ascii="Verdana" w:hAnsi="Verdana"/>
          <w:color w:val="000000"/>
          <w:sz w:val="20"/>
          <w:szCs w:val="20"/>
        </w:rPr>
      </w:pPr>
    </w:p>
    <w:p w:rsidR="00BD4C51" w:rsidRDefault="00BD4C51" w:rsidP="00BD4C51">
      <w:pPr>
        <w:pStyle w:val="textonormal"/>
        <w:spacing w:line="240" w:lineRule="auto"/>
        <w:rPr>
          <w:rFonts w:ascii="Verdana" w:hAnsi="Verdana"/>
          <w:color w:val="000000"/>
          <w:sz w:val="20"/>
          <w:szCs w:val="20"/>
        </w:rPr>
      </w:pPr>
    </w:p>
    <w:p w:rsidR="00BD4C51" w:rsidRPr="00882474" w:rsidRDefault="00BD4C51" w:rsidP="00BD4C51">
      <w:pPr>
        <w:pStyle w:val="textonormal"/>
        <w:spacing w:line="240" w:lineRule="auto"/>
        <w:rPr>
          <w:rFonts w:ascii="Verdana" w:hAnsi="Verdana"/>
          <w:color w:val="000000"/>
          <w:sz w:val="20"/>
          <w:szCs w:val="20"/>
        </w:rPr>
      </w:pPr>
    </w:p>
    <w:p w:rsidR="00BD4C51" w:rsidRPr="00882474" w:rsidRDefault="00BD4C51" w:rsidP="00BD4C51">
      <w:pPr>
        <w:tabs>
          <w:tab w:val="left" w:pos="-720"/>
          <w:tab w:val="left" w:pos="11624"/>
        </w:tabs>
        <w:suppressAutoHyphens/>
        <w:ind w:left="426" w:right="356"/>
        <w:jc w:val="both"/>
        <w:rPr>
          <w:rFonts w:ascii="Verdana" w:hAnsi="Verdana" w:cs="Arial"/>
          <w:b/>
          <w:bCs/>
          <w:spacing w:val="-2"/>
        </w:rPr>
      </w:pPr>
    </w:p>
    <w:p w:rsidR="00BD4C51" w:rsidRPr="00882474" w:rsidRDefault="00BD4C51" w:rsidP="00BD4C51">
      <w:pPr>
        <w:tabs>
          <w:tab w:val="left" w:pos="-720"/>
          <w:tab w:val="left" w:pos="11624"/>
        </w:tabs>
        <w:suppressAutoHyphens/>
        <w:ind w:left="426" w:right="356"/>
        <w:jc w:val="center"/>
        <w:rPr>
          <w:rFonts w:ascii="Verdana" w:hAnsi="Verdana" w:cs="Arial"/>
          <w:b/>
          <w:bCs/>
          <w:spacing w:val="-2"/>
        </w:rPr>
      </w:pPr>
      <w:r>
        <w:rPr>
          <w:rFonts w:ascii="Verdana" w:hAnsi="Verdana" w:cs="Arial"/>
          <w:b/>
          <w:bCs/>
          <w:spacing w:val="-2"/>
        </w:rPr>
        <w:t>PUBLÍQUESE</w:t>
      </w:r>
      <w:r w:rsidRPr="00882474">
        <w:rPr>
          <w:rFonts w:ascii="Verdana" w:hAnsi="Verdana" w:cs="Arial"/>
          <w:b/>
          <w:bCs/>
          <w:spacing w:val="-2"/>
        </w:rPr>
        <w:t xml:space="preserve"> Y CÚMPLASE</w:t>
      </w:r>
    </w:p>
    <w:p w:rsidR="00BD4C51" w:rsidRPr="00882474" w:rsidRDefault="00BD4C51" w:rsidP="00BD4C51">
      <w:pPr>
        <w:tabs>
          <w:tab w:val="left" w:pos="-720"/>
          <w:tab w:val="left" w:pos="11624"/>
        </w:tabs>
        <w:suppressAutoHyphens/>
        <w:ind w:left="426" w:right="356"/>
        <w:jc w:val="center"/>
        <w:rPr>
          <w:rFonts w:ascii="Verdana" w:hAnsi="Verdana" w:cs="Arial"/>
          <w:b/>
          <w:bCs/>
          <w:spacing w:val="-2"/>
        </w:rPr>
      </w:pPr>
    </w:p>
    <w:p w:rsidR="00BD4C51" w:rsidRPr="00882474" w:rsidRDefault="00BD4C51" w:rsidP="00BD4C51">
      <w:pPr>
        <w:jc w:val="center"/>
        <w:rPr>
          <w:rFonts w:ascii="Verdana" w:hAnsi="Verdana" w:cs="Arial"/>
        </w:rPr>
      </w:pPr>
      <w:r w:rsidRPr="00882474">
        <w:rPr>
          <w:rFonts w:ascii="Verdana" w:hAnsi="Verdana" w:cs="Arial"/>
        </w:rPr>
        <w:t>Dado en Bogotá D.C., a los</w:t>
      </w:r>
    </w:p>
    <w:p w:rsidR="00BD4C51" w:rsidRPr="00882474" w:rsidRDefault="00BD4C51" w:rsidP="00BD4C51">
      <w:pPr>
        <w:tabs>
          <w:tab w:val="left" w:pos="-720"/>
          <w:tab w:val="left" w:pos="11624"/>
        </w:tabs>
        <w:suppressAutoHyphens/>
        <w:ind w:left="426" w:right="356"/>
        <w:jc w:val="center"/>
        <w:rPr>
          <w:rFonts w:ascii="Verdana" w:hAnsi="Verdana" w:cs="Arial"/>
          <w:b/>
          <w:bCs/>
          <w:spacing w:val="-2"/>
        </w:rPr>
      </w:pPr>
      <w:bookmarkStart w:id="0" w:name="_GoBack"/>
      <w:bookmarkEnd w:id="0"/>
    </w:p>
    <w:p w:rsidR="00BD4C51" w:rsidRPr="00882474" w:rsidRDefault="00BD4C51" w:rsidP="00BD4C51">
      <w:pPr>
        <w:tabs>
          <w:tab w:val="left" w:pos="-720"/>
          <w:tab w:val="left" w:pos="11624"/>
        </w:tabs>
        <w:suppressAutoHyphens/>
        <w:ind w:left="426" w:right="356"/>
        <w:jc w:val="center"/>
        <w:rPr>
          <w:rFonts w:ascii="Verdana" w:hAnsi="Verdana" w:cs="Arial"/>
          <w:b/>
          <w:bCs/>
          <w:spacing w:val="-2"/>
        </w:rPr>
      </w:pPr>
    </w:p>
    <w:p w:rsidR="00BD4C51" w:rsidRDefault="00BD4C51" w:rsidP="00BD4C51">
      <w:pPr>
        <w:tabs>
          <w:tab w:val="left" w:pos="-720"/>
          <w:tab w:val="left" w:pos="11624"/>
        </w:tabs>
        <w:suppressAutoHyphens/>
        <w:ind w:left="426" w:right="356"/>
        <w:jc w:val="center"/>
        <w:rPr>
          <w:rFonts w:ascii="Verdana" w:hAnsi="Verdana" w:cs="Arial"/>
          <w:b/>
          <w:bCs/>
          <w:spacing w:val="-2"/>
        </w:rPr>
      </w:pPr>
    </w:p>
    <w:p w:rsidR="00BD4C51" w:rsidRDefault="00BD4C51" w:rsidP="00BD4C51">
      <w:pPr>
        <w:tabs>
          <w:tab w:val="left" w:pos="-720"/>
          <w:tab w:val="left" w:pos="11624"/>
        </w:tabs>
        <w:suppressAutoHyphens/>
        <w:ind w:left="426" w:right="356"/>
        <w:jc w:val="center"/>
        <w:rPr>
          <w:rFonts w:ascii="Verdana" w:hAnsi="Verdana" w:cs="Arial"/>
          <w:b/>
          <w:bCs/>
          <w:spacing w:val="-2"/>
        </w:rPr>
      </w:pPr>
    </w:p>
    <w:p w:rsidR="00BD4C51" w:rsidRPr="00882474" w:rsidRDefault="00BD4C51" w:rsidP="00BD4C51">
      <w:pPr>
        <w:tabs>
          <w:tab w:val="left" w:pos="-720"/>
          <w:tab w:val="left" w:pos="11624"/>
        </w:tabs>
        <w:suppressAutoHyphens/>
        <w:ind w:left="426" w:right="356"/>
        <w:jc w:val="center"/>
        <w:rPr>
          <w:rFonts w:ascii="Verdana" w:hAnsi="Verdana" w:cs="Arial"/>
          <w:b/>
          <w:bCs/>
          <w:spacing w:val="-2"/>
        </w:rPr>
      </w:pPr>
    </w:p>
    <w:p w:rsidR="00BD4C51" w:rsidRPr="008B0236" w:rsidRDefault="00BD4C51" w:rsidP="00BD4C51">
      <w:pPr>
        <w:jc w:val="center"/>
        <w:rPr>
          <w:rFonts w:ascii="Verdana" w:hAnsi="Verdana" w:cs="Arial"/>
          <w:b/>
        </w:rPr>
      </w:pPr>
      <w:r w:rsidRPr="008B0236">
        <w:rPr>
          <w:rFonts w:ascii="Verdana" w:hAnsi="Verdana"/>
          <w:b/>
          <w:color w:val="000000"/>
        </w:rPr>
        <w:t>NEMESIO RAÚL ROYS GARZÓN</w:t>
      </w:r>
    </w:p>
    <w:p w:rsidR="00BD4C51" w:rsidRPr="008B0236" w:rsidRDefault="00BD4C51" w:rsidP="00BD4C51">
      <w:pPr>
        <w:tabs>
          <w:tab w:val="left" w:pos="3041"/>
        </w:tabs>
        <w:rPr>
          <w:rFonts w:ascii="Verdana" w:hAnsi="Verdana"/>
          <w:i/>
        </w:rPr>
      </w:pPr>
    </w:p>
    <w:p w:rsidR="00BD4C51" w:rsidRPr="008B0236" w:rsidRDefault="00BD4C51" w:rsidP="00BD4C51">
      <w:pPr>
        <w:tabs>
          <w:tab w:val="left" w:pos="3041"/>
        </w:tabs>
        <w:rPr>
          <w:rFonts w:ascii="Verdana" w:hAnsi="Verdana"/>
          <w:color w:val="000000"/>
          <w:sz w:val="14"/>
          <w:szCs w:val="16"/>
        </w:rPr>
      </w:pPr>
      <w:r w:rsidRPr="008B0236">
        <w:rPr>
          <w:rFonts w:ascii="Verdana" w:hAnsi="Verdana"/>
          <w:color w:val="000000"/>
          <w:sz w:val="14"/>
          <w:szCs w:val="16"/>
        </w:rPr>
        <w:t>Proyectó: Omar B.</w:t>
      </w:r>
    </w:p>
    <w:p w:rsidR="00BD4C51" w:rsidRPr="008B0236" w:rsidRDefault="00BD4C51" w:rsidP="00BD4C51">
      <w:pPr>
        <w:adjustRightInd w:val="0"/>
        <w:jc w:val="both"/>
        <w:rPr>
          <w:rFonts w:ascii="Verdana" w:hAnsi="Verdana"/>
          <w:color w:val="000000"/>
          <w:sz w:val="14"/>
          <w:szCs w:val="16"/>
        </w:rPr>
      </w:pPr>
      <w:r w:rsidRPr="008B0236">
        <w:rPr>
          <w:rFonts w:ascii="Verdana" w:hAnsi="Verdana"/>
          <w:color w:val="000000"/>
          <w:sz w:val="14"/>
          <w:szCs w:val="16"/>
        </w:rPr>
        <w:t xml:space="preserve">Revisó: María E. Pinto  </w:t>
      </w:r>
    </w:p>
    <w:p w:rsidR="00BD4C51" w:rsidRPr="008B0236" w:rsidRDefault="00BD4C51" w:rsidP="00BD4C51">
      <w:pPr>
        <w:rPr>
          <w:rFonts w:ascii="Verdana" w:hAnsi="Verdana" w:cs="Arial"/>
          <w:bCs/>
          <w:color w:val="000000"/>
          <w:spacing w:val="-3"/>
          <w:sz w:val="16"/>
          <w:szCs w:val="16"/>
        </w:rPr>
      </w:pPr>
      <w:r w:rsidRPr="008B0236">
        <w:rPr>
          <w:rFonts w:ascii="Verdana" w:hAnsi="Verdana"/>
          <w:color w:val="000000"/>
          <w:sz w:val="14"/>
          <w:szCs w:val="16"/>
        </w:rPr>
        <w:t>Aprobó:</w:t>
      </w:r>
      <w:r w:rsidRPr="008B0236">
        <w:t xml:space="preserve"> </w:t>
      </w:r>
      <w:r w:rsidRPr="008B0236">
        <w:rPr>
          <w:rFonts w:ascii="Verdana" w:hAnsi="Verdana"/>
          <w:color w:val="000000"/>
          <w:sz w:val="14"/>
          <w:szCs w:val="16"/>
        </w:rPr>
        <w:t>Lucy Edrey Acevedo Meneses. Jefe Oficina Asesora Jurídica / Secretaria General</w:t>
      </w:r>
      <w:r w:rsidRPr="008B0236">
        <w:rPr>
          <w:rFonts w:ascii="Verdana" w:hAnsi="Verdana" w:cs="Arial"/>
          <w:bCs/>
          <w:color w:val="000000"/>
          <w:spacing w:val="-3"/>
          <w:sz w:val="16"/>
          <w:szCs w:val="16"/>
        </w:rPr>
        <w:t xml:space="preserve"> </w:t>
      </w:r>
    </w:p>
    <w:p w:rsidR="00BD4C51" w:rsidRDefault="00BD4C51" w:rsidP="00BD4C51"/>
    <w:p w:rsidR="00F151B7" w:rsidRDefault="00F151B7"/>
    <w:sectPr w:rsidR="00F151B7" w:rsidSect="00010F47">
      <w:headerReference w:type="default" r:id="rId6"/>
      <w:footerReference w:type="default" r:id="rId7"/>
      <w:pgSz w:w="12242" w:h="18722" w:code="120"/>
      <w:pgMar w:top="1276" w:right="680" w:bottom="425" w:left="680" w:header="567" w:footer="476" w:gutter="0"/>
      <w:pgBorders>
        <w:top w:val="double" w:sz="12" w:space="1" w:color="auto"/>
        <w:left w:val="double" w:sz="12" w:space="4" w:color="auto"/>
        <w:bottom w:val="double" w:sz="12" w:space="1" w:color="auto"/>
        <w:right w:val="double" w:sz="12" w:space="4" w:color="auto"/>
      </w:pgBorders>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E14" w:rsidRDefault="005C2E14" w:rsidP="00BD4C51">
      <w:r>
        <w:separator/>
      </w:r>
    </w:p>
  </w:endnote>
  <w:endnote w:type="continuationSeparator" w:id="0">
    <w:p w:rsidR="005C2E14" w:rsidRDefault="005C2E14" w:rsidP="00BD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02" w:rsidRPr="00EB65F6" w:rsidRDefault="00EB672D">
    <w:pPr>
      <w:pStyle w:val="Piedepgina"/>
      <w:jc w:val="right"/>
    </w:pPr>
    <w:r w:rsidRPr="00EB65F6">
      <w:rPr>
        <w:sz w:val="16"/>
        <w:szCs w:val="16"/>
      </w:rPr>
      <w:t xml:space="preserve">Página </w:t>
    </w:r>
    <w:r w:rsidRPr="00EB65F6">
      <w:rPr>
        <w:sz w:val="16"/>
        <w:szCs w:val="16"/>
      </w:rPr>
      <w:fldChar w:fldCharType="begin"/>
    </w:r>
    <w:r w:rsidRPr="00EB65F6">
      <w:rPr>
        <w:sz w:val="16"/>
        <w:szCs w:val="16"/>
      </w:rPr>
      <w:instrText>PAGE</w:instrText>
    </w:r>
    <w:r w:rsidRPr="00EB65F6">
      <w:rPr>
        <w:sz w:val="16"/>
        <w:szCs w:val="16"/>
      </w:rPr>
      <w:fldChar w:fldCharType="separate"/>
    </w:r>
    <w:r w:rsidR="00C760BC">
      <w:rPr>
        <w:noProof/>
        <w:sz w:val="16"/>
        <w:szCs w:val="16"/>
      </w:rPr>
      <w:t>2</w:t>
    </w:r>
    <w:r w:rsidRPr="00EB65F6">
      <w:rPr>
        <w:sz w:val="16"/>
        <w:szCs w:val="16"/>
      </w:rPr>
      <w:fldChar w:fldCharType="end"/>
    </w:r>
    <w:r w:rsidRPr="00EB65F6">
      <w:rPr>
        <w:sz w:val="16"/>
        <w:szCs w:val="16"/>
      </w:rPr>
      <w:t xml:space="preserve"> de </w:t>
    </w:r>
    <w:r w:rsidRPr="00EB65F6">
      <w:rPr>
        <w:sz w:val="16"/>
        <w:szCs w:val="16"/>
      </w:rPr>
      <w:fldChar w:fldCharType="begin"/>
    </w:r>
    <w:r w:rsidRPr="00EB65F6">
      <w:rPr>
        <w:sz w:val="16"/>
        <w:szCs w:val="16"/>
      </w:rPr>
      <w:instrText>NUMPAGES</w:instrText>
    </w:r>
    <w:r w:rsidRPr="00EB65F6">
      <w:rPr>
        <w:sz w:val="16"/>
        <w:szCs w:val="16"/>
      </w:rPr>
      <w:fldChar w:fldCharType="separate"/>
    </w:r>
    <w:r w:rsidR="00C760BC">
      <w:rPr>
        <w:noProof/>
        <w:sz w:val="16"/>
        <w:szCs w:val="16"/>
      </w:rPr>
      <w:t>2</w:t>
    </w:r>
    <w:r w:rsidRPr="00EB65F6">
      <w:rPr>
        <w:sz w:val="16"/>
        <w:szCs w:val="16"/>
      </w:rPr>
      <w:fldChar w:fldCharType="end"/>
    </w:r>
  </w:p>
  <w:p w:rsidR="00A67F02" w:rsidRDefault="00EB672D" w:rsidP="00A67F02">
    <w:pPr>
      <w:pStyle w:val="Piedepgina"/>
      <w:tabs>
        <w:tab w:val="clear" w:pos="4419"/>
        <w:tab w:val="clear" w:pos="8838"/>
        <w:tab w:val="left" w:pos="137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E14" w:rsidRDefault="005C2E14" w:rsidP="00BD4C51">
      <w:r>
        <w:separator/>
      </w:r>
    </w:p>
  </w:footnote>
  <w:footnote w:type="continuationSeparator" w:id="0">
    <w:p w:rsidR="005C2E14" w:rsidRDefault="005C2E14" w:rsidP="00BD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F02" w:rsidRDefault="005C2E14" w:rsidP="00CE0ABD">
    <w:pPr>
      <w:pStyle w:val="Encabezado"/>
      <w:jc w:val="center"/>
      <w:rPr>
        <w:noProof/>
        <w:lang w:val="es-CO" w:eastAsia="es-CO"/>
      </w:rPr>
    </w:pPr>
  </w:p>
  <w:p w:rsidR="00E44A37" w:rsidRDefault="00EB672D" w:rsidP="00CE0ABD">
    <w:pPr>
      <w:pStyle w:val="Encabezado"/>
      <w:jc w:val="center"/>
      <w:rPr>
        <w:rFonts w:ascii="Verdana" w:hAnsi="Verdana"/>
        <w:b/>
      </w:rPr>
    </w:pPr>
    <w:r>
      <w:rPr>
        <w:rFonts w:ascii="Verdana" w:hAnsi="Verdana"/>
        <w:b/>
        <w:noProof/>
        <w:lang w:val="es-CO" w:eastAsia="es-CO"/>
      </w:rPr>
      <w:drawing>
        <wp:anchor distT="0" distB="0" distL="114300" distR="114300" simplePos="0" relativeHeight="251659264" behindDoc="0" locked="0" layoutInCell="1" allowOverlap="1" wp14:anchorId="13CA733E" wp14:editId="58B3CFCA">
          <wp:simplePos x="0" y="0"/>
          <wp:positionH relativeFrom="column">
            <wp:posOffset>330200</wp:posOffset>
          </wp:positionH>
          <wp:positionV relativeFrom="page">
            <wp:posOffset>542925</wp:posOffset>
          </wp:positionV>
          <wp:extent cx="6156960" cy="666750"/>
          <wp:effectExtent l="0" t="0" r="0" b="0"/>
          <wp:wrapTight wrapText="bothSides">
            <wp:wrapPolygon edited="0">
              <wp:start x="0" y="0"/>
              <wp:lineTo x="0" y="20983"/>
              <wp:lineTo x="21520" y="20983"/>
              <wp:lineTo x="2152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F02" w:rsidRDefault="00EB672D" w:rsidP="00A67F02">
    <w:pPr>
      <w:pBdr>
        <w:bottom w:val="single" w:sz="6" w:space="1" w:color="auto"/>
      </w:pBdr>
      <w:jc w:val="center"/>
      <w:rPr>
        <w:rFonts w:ascii="Verdana" w:hAnsi="Verdana"/>
        <w:b/>
        <w:sz w:val="24"/>
        <w:szCs w:val="24"/>
      </w:rPr>
    </w:pPr>
    <w:r w:rsidRPr="00CB27AB">
      <w:rPr>
        <w:rFonts w:ascii="Verdana" w:hAnsi="Verdana"/>
        <w:b/>
        <w:sz w:val="24"/>
        <w:szCs w:val="24"/>
      </w:rPr>
      <w:t>RESOLUCIÓN No.                     DE</w:t>
    </w:r>
  </w:p>
  <w:p w:rsidR="00A67F02" w:rsidRPr="00010F47" w:rsidRDefault="005C2E14" w:rsidP="00A67F02">
    <w:pPr>
      <w:pBdr>
        <w:bottom w:val="single" w:sz="6" w:space="1" w:color="auto"/>
      </w:pBdr>
      <w:jc w:val="center"/>
      <w:rPr>
        <w:rFonts w:ascii="Verdana" w:hAnsi="Verdana"/>
        <w:b/>
        <w:sz w:val="21"/>
        <w:szCs w:val="21"/>
      </w:rPr>
    </w:pPr>
  </w:p>
  <w:p w:rsidR="00BD4C51" w:rsidRPr="00A63365" w:rsidRDefault="00BD4C51" w:rsidP="00BD4C51">
    <w:pPr>
      <w:pBdr>
        <w:bottom w:val="single" w:sz="6" w:space="1" w:color="auto"/>
      </w:pBdr>
      <w:jc w:val="center"/>
      <w:rPr>
        <w:rFonts w:ascii="Verdana" w:hAnsi="Verdana"/>
        <w:i/>
      </w:rPr>
    </w:pPr>
    <w:r w:rsidRPr="00A63365">
      <w:rPr>
        <w:rFonts w:ascii="Verdana" w:hAnsi="Verdana" w:cs="Arial"/>
        <w:i/>
        <w:color w:val="000000"/>
      </w:rPr>
      <w:t xml:space="preserve">“Por medio de la cual se </w:t>
    </w:r>
    <w:r>
      <w:rPr>
        <w:rFonts w:ascii="Verdana" w:hAnsi="Verdana" w:cs="Arial"/>
        <w:i/>
        <w:color w:val="000000"/>
      </w:rPr>
      <w:t>modifica parcialmente la Resolución</w:t>
    </w:r>
    <w:r w:rsidR="00954C96">
      <w:rPr>
        <w:rFonts w:ascii="Verdana" w:hAnsi="Verdana" w:cs="Arial"/>
        <w:i/>
        <w:color w:val="000000"/>
      </w:rPr>
      <w:t xml:space="preserve"> No. </w:t>
    </w:r>
    <w:r w:rsidR="00A90A6F">
      <w:rPr>
        <w:rFonts w:ascii="Verdana" w:hAnsi="Verdana" w:cs="Arial"/>
        <w:i/>
        <w:color w:val="000000"/>
      </w:rPr>
      <w:t>0</w:t>
    </w:r>
    <w:r>
      <w:rPr>
        <w:rFonts w:ascii="Verdana" w:hAnsi="Verdana" w:cs="Arial"/>
        <w:i/>
        <w:color w:val="000000"/>
      </w:rPr>
      <w:t>2717 de 2016</w:t>
    </w:r>
    <w:r w:rsidR="00954C96">
      <w:rPr>
        <w:rFonts w:ascii="Verdana" w:hAnsi="Verdana" w:cs="Arial"/>
        <w:i/>
        <w:color w:val="000000"/>
      </w:rPr>
      <w:t>”</w:t>
    </w:r>
  </w:p>
  <w:p w:rsidR="00BE647D" w:rsidRDefault="005C2E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51"/>
    <w:rsid w:val="001678B8"/>
    <w:rsid w:val="002E6CF0"/>
    <w:rsid w:val="004C26F2"/>
    <w:rsid w:val="005C2E14"/>
    <w:rsid w:val="008134CE"/>
    <w:rsid w:val="00816C6D"/>
    <w:rsid w:val="00851735"/>
    <w:rsid w:val="008B0236"/>
    <w:rsid w:val="00954C96"/>
    <w:rsid w:val="00A12AA9"/>
    <w:rsid w:val="00A90A6F"/>
    <w:rsid w:val="00BD4C51"/>
    <w:rsid w:val="00C760BC"/>
    <w:rsid w:val="00CA49CA"/>
    <w:rsid w:val="00EB672D"/>
    <w:rsid w:val="00F151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C63A00-0EBA-421F-A364-FC07E802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C51"/>
    <w:pPr>
      <w:widowControl w:val="0"/>
      <w:autoSpaceDE w:val="0"/>
      <w:autoSpaceDN w:val="0"/>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h18 Car Car Car Car Car Car Car Car,he,h18 Car Car Car Car Car Car Car,h18 Car Car Car,Alt Header"/>
    <w:basedOn w:val="Normal"/>
    <w:link w:val="EncabezadoCar"/>
    <w:rsid w:val="00BD4C51"/>
    <w:pPr>
      <w:widowControl/>
      <w:tabs>
        <w:tab w:val="center" w:pos="4252"/>
        <w:tab w:val="right" w:pos="8504"/>
      </w:tabs>
      <w:autoSpaceDE/>
      <w:autoSpaceDN/>
    </w:pPr>
    <w:rPr>
      <w:rFonts w:ascii="Arial" w:hAnsi="Arial"/>
      <w:sz w:val="24"/>
      <w:szCs w:val="24"/>
      <w:lang w:val="x-none"/>
    </w:rPr>
  </w:style>
  <w:style w:type="character" w:customStyle="1" w:styleId="EncabezadoCar">
    <w:name w:val="Encabezado Car"/>
    <w:aliases w:val="encabezado Car,h Car,h8 Car,h9 Car,h10 Car,h18 Car,h18 Car Car Car Car Car Car,h18 Car Car Car Car Car Car Car Car Car,he Car,h18 Car Car Car Car Car Car Car Car1,h18 Car Car Car Car,Alt Header Car"/>
    <w:basedOn w:val="Fuentedeprrafopredeter"/>
    <w:link w:val="Encabezado"/>
    <w:rsid w:val="00BD4C51"/>
    <w:rPr>
      <w:rFonts w:ascii="Arial" w:eastAsia="Calibri" w:hAnsi="Arial" w:cs="Times New Roman"/>
      <w:sz w:val="24"/>
      <w:szCs w:val="24"/>
      <w:lang w:val="x-none" w:eastAsia="es-ES"/>
    </w:rPr>
  </w:style>
  <w:style w:type="paragraph" w:styleId="Piedepgina">
    <w:name w:val="footer"/>
    <w:basedOn w:val="Normal"/>
    <w:link w:val="PiedepginaCar"/>
    <w:uiPriority w:val="99"/>
    <w:rsid w:val="00BD4C5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D4C51"/>
    <w:rPr>
      <w:rFonts w:ascii="Times New Roman" w:eastAsia="Calibri" w:hAnsi="Times New Roman" w:cs="Times New Roman"/>
      <w:sz w:val="20"/>
      <w:szCs w:val="20"/>
      <w:lang w:val="x-none" w:eastAsia="es-ES"/>
    </w:rPr>
  </w:style>
  <w:style w:type="paragraph" w:customStyle="1" w:styleId="textonormal">
    <w:name w:val="textonormal"/>
    <w:basedOn w:val="Normal"/>
    <w:rsid w:val="00BD4C51"/>
    <w:pPr>
      <w:widowControl/>
      <w:autoSpaceDE/>
      <w:autoSpaceDN/>
      <w:spacing w:line="360" w:lineRule="auto"/>
      <w:jc w:val="both"/>
    </w:pPr>
    <w:rPr>
      <w:rFonts w:ascii="Arial" w:hAnsi="Arial" w:cs="Arial"/>
      <w:sz w:val="24"/>
      <w:szCs w:val="24"/>
      <w:lang w:eastAsia="es-CO"/>
    </w:rPr>
  </w:style>
  <w:style w:type="paragraph" w:customStyle="1" w:styleId="Estilo">
    <w:name w:val="Estilo"/>
    <w:rsid w:val="00BD4C51"/>
    <w:pPr>
      <w:widowControl w:val="0"/>
      <w:autoSpaceDE w:val="0"/>
      <w:autoSpaceDN w:val="0"/>
      <w:adjustRightInd w:val="0"/>
      <w:spacing w:after="0" w:line="240" w:lineRule="auto"/>
    </w:pPr>
    <w:rPr>
      <w:rFonts w:ascii="Arial" w:eastAsia="Times New Roman" w:hAnsi="Arial" w:cs="Arial"/>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A65FJVFR3NAS-1618603028-781</_dlc_DocId>
    <_dlc_DocIdUrl xmlns="fe5c55e1-1529-428c-8c16-ada3460a0e7a">
      <Url>http://tame/_layouts/15/DocIdRedir.aspx?ID=A65FJVFR3NAS-1618603028-781</Url>
      <Description>A65FJVFR3NAS-1618603028-781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DFF31-A90F-483B-A5AB-999D904A0C5F}"/>
</file>

<file path=customXml/itemProps2.xml><?xml version="1.0" encoding="utf-8"?>
<ds:datastoreItem xmlns:ds="http://schemas.openxmlformats.org/officeDocument/2006/customXml" ds:itemID="{E106A919-DA90-46D1-B1B5-AA92E47DED75}"/>
</file>

<file path=customXml/itemProps3.xml><?xml version="1.0" encoding="utf-8"?>
<ds:datastoreItem xmlns:ds="http://schemas.openxmlformats.org/officeDocument/2006/customXml" ds:itemID="{DCCC751F-200A-44B9-AAEC-C1FC19F49B3D}"/>
</file>

<file path=customXml/itemProps4.xml><?xml version="1.0" encoding="utf-8"?>
<ds:datastoreItem xmlns:ds="http://schemas.openxmlformats.org/officeDocument/2006/customXml" ds:itemID="{3E2B2C5A-0030-4E2E-A163-BBF21F2E0DDC}"/>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Omar�Alberto Baron Avendano</dc:creator>
  <cp:keywords/>
  <dc:description/>
  <cp:lastModifiedBy>Maria Esther Pinto Escobar</cp:lastModifiedBy>
  <cp:revision>2</cp:revision>
  <dcterms:created xsi:type="dcterms:W3CDTF">2017-12-15T20:52:00Z</dcterms:created>
  <dcterms:modified xsi:type="dcterms:W3CDTF">2017-12-15T20:52:00Z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b50c70cf-c691-40cd-9cd6-8d5d419edce8</vt:lpwstr>
  </property>
</Properties>
</file>